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65635" w14:paraId="71469884" w14:textId="77777777">
        <w:tblPrEx>
          <w:tblCellMar>
            <w:top w:w="0" w:type="dxa"/>
            <w:bottom w:w="0" w:type="dxa"/>
          </w:tblCellMar>
        </w:tblPrEx>
        <w:trPr>
          <w:tblCellSpacing w:w="60" w:type="dxa"/>
        </w:trPr>
        <w:tc>
          <w:tcPr>
            <w:tcW w:w="1200" w:type="pct"/>
            <w:shd w:val="clear" w:color="auto" w:fill="E7F0F9"/>
          </w:tcPr>
          <w:p w14:paraId="70748371" w14:textId="77777777" w:rsidR="00B65635" w:rsidRDefault="00000000">
            <w:pPr>
              <w:spacing w:after="0" w:line="240" w:lineRule="auto"/>
            </w:pPr>
            <w:r>
              <w:rPr>
                <w:b/>
              </w:rPr>
              <w:t>RKP broj</w:t>
            </w:r>
          </w:p>
        </w:tc>
        <w:tc>
          <w:tcPr>
            <w:tcW w:w="0" w:type="auto"/>
            <w:shd w:val="clear" w:color="auto" w:fill="E7F0F9"/>
          </w:tcPr>
          <w:p w14:paraId="40E37685" w14:textId="77777777" w:rsidR="00B65635" w:rsidRDefault="00000000">
            <w:pPr>
              <w:spacing w:after="0" w:line="240" w:lineRule="auto"/>
            </w:pPr>
            <w:r>
              <w:t>28143</w:t>
            </w:r>
          </w:p>
        </w:tc>
      </w:tr>
      <w:tr w:rsidR="00B65635" w14:paraId="3914B57B" w14:textId="77777777">
        <w:tblPrEx>
          <w:tblCellMar>
            <w:top w:w="0" w:type="dxa"/>
            <w:bottom w:w="0" w:type="dxa"/>
          </w:tblCellMar>
        </w:tblPrEx>
        <w:trPr>
          <w:tblCellSpacing w:w="60" w:type="dxa"/>
        </w:trPr>
        <w:tc>
          <w:tcPr>
            <w:tcW w:w="1200" w:type="pct"/>
            <w:shd w:val="clear" w:color="auto" w:fill="E7F0F9"/>
          </w:tcPr>
          <w:p w14:paraId="3C55F5BE" w14:textId="77777777" w:rsidR="00B65635" w:rsidRDefault="00000000">
            <w:pPr>
              <w:spacing w:after="0" w:line="240" w:lineRule="auto"/>
            </w:pPr>
            <w:r>
              <w:rPr>
                <w:b/>
              </w:rPr>
              <w:t>Naziv obveznika</w:t>
            </w:r>
          </w:p>
        </w:tc>
        <w:tc>
          <w:tcPr>
            <w:tcW w:w="0" w:type="auto"/>
            <w:shd w:val="clear" w:color="auto" w:fill="E7F0F9"/>
          </w:tcPr>
          <w:p w14:paraId="48C1422E" w14:textId="77777777" w:rsidR="00B65635" w:rsidRDefault="00000000">
            <w:pPr>
              <w:spacing w:after="0" w:line="240" w:lineRule="auto"/>
            </w:pPr>
            <w:r>
              <w:t>OPĆINA KLOŠTAR PODRAVSKI</w:t>
            </w:r>
          </w:p>
        </w:tc>
      </w:tr>
      <w:tr w:rsidR="00B65635" w14:paraId="54C1260A" w14:textId="77777777">
        <w:tblPrEx>
          <w:tblCellMar>
            <w:top w:w="0" w:type="dxa"/>
            <w:bottom w:w="0" w:type="dxa"/>
          </w:tblCellMar>
        </w:tblPrEx>
        <w:trPr>
          <w:tblCellSpacing w:w="60" w:type="dxa"/>
        </w:trPr>
        <w:tc>
          <w:tcPr>
            <w:tcW w:w="1200" w:type="pct"/>
            <w:shd w:val="clear" w:color="auto" w:fill="E7F0F9"/>
          </w:tcPr>
          <w:p w14:paraId="6A82F032" w14:textId="77777777" w:rsidR="00B65635" w:rsidRDefault="00000000">
            <w:pPr>
              <w:spacing w:after="0" w:line="240" w:lineRule="auto"/>
            </w:pPr>
            <w:r>
              <w:rPr>
                <w:b/>
              </w:rPr>
              <w:t>Razina</w:t>
            </w:r>
          </w:p>
        </w:tc>
        <w:tc>
          <w:tcPr>
            <w:tcW w:w="0" w:type="auto"/>
            <w:shd w:val="clear" w:color="auto" w:fill="E7F0F9"/>
          </w:tcPr>
          <w:p w14:paraId="3C459710" w14:textId="77777777" w:rsidR="00B65635" w:rsidRDefault="00000000">
            <w:pPr>
              <w:spacing w:after="0" w:line="240" w:lineRule="auto"/>
            </w:pPr>
            <w:r>
              <w:t>23</w:t>
            </w:r>
          </w:p>
        </w:tc>
      </w:tr>
    </w:tbl>
    <w:p w14:paraId="10DD36AF" w14:textId="77777777" w:rsidR="00B65635" w:rsidRDefault="00000000">
      <w:r>
        <w:br/>
      </w:r>
    </w:p>
    <w:p w14:paraId="1187A461" w14:textId="77777777" w:rsidR="00B65635" w:rsidRDefault="00000000">
      <w:pPr>
        <w:spacing w:line="240" w:lineRule="auto"/>
        <w:jc w:val="center"/>
      </w:pPr>
      <w:r>
        <w:rPr>
          <w:b/>
          <w:sz w:val="28"/>
        </w:rPr>
        <w:t>BILJEŠKE UZ FINANCIJSKE IZVJEŠTAJE</w:t>
      </w:r>
    </w:p>
    <w:p w14:paraId="1BB9D7AF" w14:textId="77777777" w:rsidR="00B65635" w:rsidRDefault="00000000">
      <w:pPr>
        <w:spacing w:line="240" w:lineRule="auto"/>
        <w:jc w:val="center"/>
      </w:pPr>
      <w:r>
        <w:rPr>
          <w:b/>
          <w:sz w:val="28"/>
        </w:rPr>
        <w:t>ZA RAZDOBLJE</w:t>
      </w:r>
    </w:p>
    <w:p w14:paraId="43942220" w14:textId="77777777" w:rsidR="00B65635" w:rsidRDefault="00000000">
      <w:pPr>
        <w:spacing w:line="240" w:lineRule="auto"/>
        <w:jc w:val="center"/>
      </w:pPr>
      <w:r>
        <w:rPr>
          <w:b/>
          <w:sz w:val="28"/>
        </w:rPr>
        <w:t>I - XII 2025.</w:t>
      </w:r>
    </w:p>
    <w:p w14:paraId="24EDFF64" w14:textId="77777777" w:rsidR="00B65635" w:rsidRDefault="00B65635"/>
    <w:p w14:paraId="596B6A08" w14:textId="77777777" w:rsidR="00B65635" w:rsidRDefault="00000000">
      <w:pPr>
        <w:keepNext/>
        <w:spacing w:line="240" w:lineRule="auto"/>
        <w:jc w:val="center"/>
      </w:pPr>
      <w:r>
        <w:rPr>
          <w:b/>
          <w:sz w:val="28"/>
        </w:rPr>
        <w:t>Izvještaj o prihodima i rashodima, primicima i izdacima</w:t>
      </w:r>
    </w:p>
    <w:p w14:paraId="08CF926C" w14:textId="77777777" w:rsidR="00B6563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7483ED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30E0B9"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29E87B"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C89744"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5FEAB7"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BC2E3E"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46F078" w14:textId="77777777" w:rsidR="00B65635" w:rsidRDefault="00000000">
            <w:pPr>
              <w:keepNext/>
              <w:keepLines/>
              <w:spacing w:after="0" w:line="240" w:lineRule="auto"/>
              <w:jc w:val="center"/>
            </w:pPr>
            <w:r>
              <w:rPr>
                <w:b/>
                <w:sz w:val="18"/>
              </w:rPr>
              <w:t>Indeks (%)</w:t>
            </w:r>
          </w:p>
        </w:tc>
      </w:tr>
      <w:tr w:rsidR="00B65635" w14:paraId="3B3A5F59" w14:textId="77777777">
        <w:tblPrEx>
          <w:tblCellMar>
            <w:top w:w="0" w:type="dxa"/>
            <w:bottom w:w="0" w:type="dxa"/>
          </w:tblCellMar>
        </w:tblPrEx>
        <w:trPr>
          <w:cantSplit/>
          <w:trHeight w:val="560"/>
        </w:trPr>
        <w:tc>
          <w:tcPr>
            <w:tcW w:w="700" w:type="dxa"/>
            <w:tcMar>
              <w:top w:w="0" w:type="dxa"/>
              <w:bottom w:w="0" w:type="dxa"/>
            </w:tcMar>
            <w:vAlign w:val="center"/>
          </w:tcPr>
          <w:p w14:paraId="0433AEA5" w14:textId="77777777" w:rsidR="00B65635" w:rsidRDefault="00000000">
            <w:pPr>
              <w:keepNext/>
              <w:keepLines/>
              <w:spacing w:after="0" w:line="240" w:lineRule="auto"/>
            </w:pPr>
            <w:r>
              <w:rPr>
                <w:sz w:val="18"/>
              </w:rPr>
              <w:t>6</w:t>
            </w:r>
          </w:p>
        </w:tc>
        <w:tc>
          <w:tcPr>
            <w:tcW w:w="3180" w:type="dxa"/>
            <w:tcMar>
              <w:top w:w="0" w:type="dxa"/>
              <w:bottom w:w="0" w:type="dxa"/>
            </w:tcMar>
            <w:vAlign w:val="center"/>
          </w:tcPr>
          <w:p w14:paraId="4DBF933B" w14:textId="77777777" w:rsidR="00B6563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9802D7A" w14:textId="77777777" w:rsidR="00B65635" w:rsidRDefault="00000000">
            <w:pPr>
              <w:keepNext/>
              <w:keepLines/>
              <w:spacing w:after="0" w:line="240" w:lineRule="auto"/>
            </w:pPr>
            <w:r>
              <w:rPr>
                <w:sz w:val="18"/>
              </w:rPr>
              <w:t>6</w:t>
            </w:r>
          </w:p>
        </w:tc>
        <w:tc>
          <w:tcPr>
            <w:tcW w:w="1860" w:type="dxa"/>
            <w:tcMar>
              <w:top w:w="0" w:type="dxa"/>
              <w:bottom w:w="0" w:type="dxa"/>
            </w:tcMar>
            <w:vAlign w:val="center"/>
          </w:tcPr>
          <w:p w14:paraId="555D8280" w14:textId="77777777" w:rsidR="00B65635" w:rsidRDefault="00000000">
            <w:pPr>
              <w:keepNext/>
              <w:keepLines/>
              <w:spacing w:after="0" w:line="240" w:lineRule="auto"/>
              <w:jc w:val="right"/>
            </w:pPr>
            <w:r>
              <w:rPr>
                <w:sz w:val="18"/>
              </w:rPr>
              <w:t>2.847.173,44</w:t>
            </w:r>
          </w:p>
        </w:tc>
        <w:tc>
          <w:tcPr>
            <w:tcW w:w="1860" w:type="dxa"/>
            <w:tcMar>
              <w:top w:w="0" w:type="dxa"/>
              <w:bottom w:w="0" w:type="dxa"/>
            </w:tcMar>
            <w:vAlign w:val="center"/>
          </w:tcPr>
          <w:p w14:paraId="7F6458E4" w14:textId="77777777" w:rsidR="00B65635" w:rsidRDefault="00000000">
            <w:pPr>
              <w:keepNext/>
              <w:keepLines/>
              <w:spacing w:after="0" w:line="240" w:lineRule="auto"/>
              <w:jc w:val="right"/>
            </w:pPr>
            <w:r>
              <w:rPr>
                <w:sz w:val="18"/>
              </w:rPr>
              <w:t>2.500.659,56</w:t>
            </w:r>
          </w:p>
        </w:tc>
        <w:tc>
          <w:tcPr>
            <w:tcW w:w="700" w:type="dxa"/>
            <w:tcMar>
              <w:top w:w="0" w:type="dxa"/>
              <w:bottom w:w="0" w:type="dxa"/>
            </w:tcMar>
            <w:vAlign w:val="center"/>
          </w:tcPr>
          <w:p w14:paraId="47B30E5A" w14:textId="77777777" w:rsidR="00B65635" w:rsidRDefault="00000000">
            <w:pPr>
              <w:keepNext/>
              <w:keepLines/>
              <w:spacing w:after="0" w:line="240" w:lineRule="auto"/>
              <w:jc w:val="right"/>
            </w:pPr>
            <w:r>
              <w:rPr>
                <w:sz w:val="18"/>
              </w:rPr>
              <w:t>87,8</w:t>
            </w:r>
          </w:p>
        </w:tc>
      </w:tr>
      <w:tr w:rsidR="00B65635" w14:paraId="57F2792D" w14:textId="77777777">
        <w:tblPrEx>
          <w:tblCellMar>
            <w:top w:w="0" w:type="dxa"/>
            <w:bottom w:w="0" w:type="dxa"/>
          </w:tblCellMar>
        </w:tblPrEx>
        <w:trPr>
          <w:cantSplit/>
          <w:trHeight w:val="560"/>
        </w:trPr>
        <w:tc>
          <w:tcPr>
            <w:tcW w:w="700" w:type="dxa"/>
            <w:tcMar>
              <w:top w:w="0" w:type="dxa"/>
              <w:bottom w:w="0" w:type="dxa"/>
            </w:tcMar>
            <w:vAlign w:val="center"/>
          </w:tcPr>
          <w:p w14:paraId="4968AC34" w14:textId="77777777" w:rsidR="00B65635" w:rsidRDefault="00000000">
            <w:pPr>
              <w:keepNext/>
              <w:keepLines/>
              <w:spacing w:after="0" w:line="240" w:lineRule="auto"/>
            </w:pPr>
            <w:r>
              <w:rPr>
                <w:sz w:val="18"/>
              </w:rPr>
              <w:t>3</w:t>
            </w:r>
          </w:p>
        </w:tc>
        <w:tc>
          <w:tcPr>
            <w:tcW w:w="3180" w:type="dxa"/>
            <w:tcMar>
              <w:top w:w="0" w:type="dxa"/>
              <w:bottom w:w="0" w:type="dxa"/>
            </w:tcMar>
            <w:vAlign w:val="center"/>
          </w:tcPr>
          <w:p w14:paraId="4FA31CAF" w14:textId="77777777" w:rsidR="00B6563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F903E97" w14:textId="77777777" w:rsidR="00B65635" w:rsidRDefault="00000000">
            <w:pPr>
              <w:keepNext/>
              <w:keepLines/>
              <w:spacing w:after="0" w:line="240" w:lineRule="auto"/>
            </w:pPr>
            <w:r>
              <w:rPr>
                <w:sz w:val="18"/>
              </w:rPr>
              <w:t>3</w:t>
            </w:r>
          </w:p>
        </w:tc>
        <w:tc>
          <w:tcPr>
            <w:tcW w:w="1860" w:type="dxa"/>
            <w:tcMar>
              <w:top w:w="0" w:type="dxa"/>
              <w:bottom w:w="0" w:type="dxa"/>
            </w:tcMar>
            <w:vAlign w:val="center"/>
          </w:tcPr>
          <w:p w14:paraId="1BBDF89B" w14:textId="77777777" w:rsidR="00B65635" w:rsidRDefault="00000000">
            <w:pPr>
              <w:keepNext/>
              <w:keepLines/>
              <w:spacing w:after="0" w:line="240" w:lineRule="auto"/>
              <w:jc w:val="right"/>
            </w:pPr>
            <w:r>
              <w:rPr>
                <w:sz w:val="18"/>
              </w:rPr>
              <w:t>1.930.568,75</w:t>
            </w:r>
          </w:p>
        </w:tc>
        <w:tc>
          <w:tcPr>
            <w:tcW w:w="1860" w:type="dxa"/>
            <w:tcMar>
              <w:top w:w="0" w:type="dxa"/>
              <w:bottom w:w="0" w:type="dxa"/>
            </w:tcMar>
            <w:vAlign w:val="center"/>
          </w:tcPr>
          <w:p w14:paraId="61F70C4D" w14:textId="77777777" w:rsidR="00B65635" w:rsidRDefault="00000000">
            <w:pPr>
              <w:keepNext/>
              <w:keepLines/>
              <w:spacing w:after="0" w:line="240" w:lineRule="auto"/>
              <w:jc w:val="right"/>
            </w:pPr>
            <w:r>
              <w:rPr>
                <w:sz w:val="18"/>
              </w:rPr>
              <w:t>2.185.744,96</w:t>
            </w:r>
          </w:p>
        </w:tc>
        <w:tc>
          <w:tcPr>
            <w:tcW w:w="700" w:type="dxa"/>
            <w:tcMar>
              <w:top w:w="0" w:type="dxa"/>
              <w:bottom w:w="0" w:type="dxa"/>
            </w:tcMar>
            <w:vAlign w:val="center"/>
          </w:tcPr>
          <w:p w14:paraId="5D9FD670" w14:textId="77777777" w:rsidR="00B65635" w:rsidRDefault="00000000">
            <w:pPr>
              <w:keepNext/>
              <w:keepLines/>
              <w:spacing w:after="0" w:line="240" w:lineRule="auto"/>
              <w:jc w:val="right"/>
            </w:pPr>
            <w:r>
              <w:rPr>
                <w:sz w:val="18"/>
              </w:rPr>
              <w:t>113,2</w:t>
            </w:r>
          </w:p>
        </w:tc>
      </w:tr>
      <w:tr w:rsidR="00B65635" w14:paraId="3643DD0D" w14:textId="77777777">
        <w:tblPrEx>
          <w:tblCellMar>
            <w:top w:w="0" w:type="dxa"/>
            <w:bottom w:w="0" w:type="dxa"/>
          </w:tblCellMar>
        </w:tblPrEx>
        <w:trPr>
          <w:cantSplit/>
          <w:trHeight w:val="560"/>
        </w:trPr>
        <w:tc>
          <w:tcPr>
            <w:tcW w:w="700" w:type="dxa"/>
            <w:tcMar>
              <w:top w:w="0" w:type="dxa"/>
              <w:bottom w:w="0" w:type="dxa"/>
            </w:tcMar>
            <w:vAlign w:val="center"/>
          </w:tcPr>
          <w:p w14:paraId="0C1FA22C" w14:textId="77777777" w:rsidR="00B65635" w:rsidRDefault="00B65635">
            <w:pPr>
              <w:keepNext/>
              <w:keepLines/>
              <w:spacing w:after="0" w:line="240" w:lineRule="auto"/>
            </w:pPr>
          </w:p>
        </w:tc>
        <w:tc>
          <w:tcPr>
            <w:tcW w:w="3180" w:type="dxa"/>
            <w:tcMar>
              <w:top w:w="0" w:type="dxa"/>
              <w:bottom w:w="0" w:type="dxa"/>
            </w:tcMar>
            <w:vAlign w:val="center"/>
          </w:tcPr>
          <w:p w14:paraId="349D17E6" w14:textId="77777777" w:rsidR="00B6563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9AAA8F3" w14:textId="77777777" w:rsidR="00B65635" w:rsidRDefault="00000000">
            <w:pPr>
              <w:keepNext/>
              <w:keepLines/>
              <w:spacing w:after="0" w:line="240" w:lineRule="auto"/>
            </w:pPr>
            <w:r>
              <w:rPr>
                <w:b/>
                <w:sz w:val="18"/>
              </w:rPr>
              <w:t>X001</w:t>
            </w:r>
          </w:p>
        </w:tc>
        <w:tc>
          <w:tcPr>
            <w:tcW w:w="1860" w:type="dxa"/>
            <w:tcMar>
              <w:top w:w="0" w:type="dxa"/>
              <w:bottom w:w="0" w:type="dxa"/>
            </w:tcMar>
            <w:vAlign w:val="center"/>
          </w:tcPr>
          <w:p w14:paraId="7320364F" w14:textId="77777777" w:rsidR="00B65635" w:rsidRDefault="00000000">
            <w:pPr>
              <w:keepNext/>
              <w:keepLines/>
              <w:spacing w:after="0" w:line="240" w:lineRule="auto"/>
              <w:jc w:val="right"/>
            </w:pPr>
            <w:r>
              <w:rPr>
                <w:b/>
                <w:sz w:val="18"/>
              </w:rPr>
              <w:t>916.604,69</w:t>
            </w:r>
          </w:p>
        </w:tc>
        <w:tc>
          <w:tcPr>
            <w:tcW w:w="1860" w:type="dxa"/>
            <w:tcMar>
              <w:top w:w="0" w:type="dxa"/>
              <w:bottom w:w="0" w:type="dxa"/>
            </w:tcMar>
            <w:vAlign w:val="center"/>
          </w:tcPr>
          <w:p w14:paraId="35D07234" w14:textId="77777777" w:rsidR="00B65635" w:rsidRDefault="00000000">
            <w:pPr>
              <w:keepNext/>
              <w:keepLines/>
              <w:spacing w:after="0" w:line="240" w:lineRule="auto"/>
              <w:jc w:val="right"/>
            </w:pPr>
            <w:r>
              <w:rPr>
                <w:b/>
                <w:sz w:val="18"/>
              </w:rPr>
              <w:t>314.914,60</w:t>
            </w:r>
          </w:p>
        </w:tc>
        <w:tc>
          <w:tcPr>
            <w:tcW w:w="700" w:type="dxa"/>
            <w:tcMar>
              <w:top w:w="0" w:type="dxa"/>
              <w:bottom w:w="0" w:type="dxa"/>
            </w:tcMar>
            <w:vAlign w:val="center"/>
          </w:tcPr>
          <w:p w14:paraId="18BA1853" w14:textId="77777777" w:rsidR="00B65635" w:rsidRDefault="00000000">
            <w:pPr>
              <w:keepNext/>
              <w:keepLines/>
              <w:spacing w:after="0" w:line="240" w:lineRule="auto"/>
              <w:jc w:val="right"/>
            </w:pPr>
            <w:r>
              <w:rPr>
                <w:b/>
                <w:sz w:val="18"/>
              </w:rPr>
              <w:t>34,4</w:t>
            </w:r>
          </w:p>
        </w:tc>
      </w:tr>
      <w:tr w:rsidR="00B65635" w14:paraId="69F1B626" w14:textId="77777777">
        <w:tblPrEx>
          <w:tblCellMar>
            <w:top w:w="0" w:type="dxa"/>
            <w:bottom w:w="0" w:type="dxa"/>
          </w:tblCellMar>
        </w:tblPrEx>
        <w:trPr>
          <w:cantSplit/>
          <w:trHeight w:val="560"/>
        </w:trPr>
        <w:tc>
          <w:tcPr>
            <w:tcW w:w="700" w:type="dxa"/>
            <w:tcMar>
              <w:top w:w="0" w:type="dxa"/>
              <w:bottom w:w="0" w:type="dxa"/>
            </w:tcMar>
            <w:vAlign w:val="center"/>
          </w:tcPr>
          <w:p w14:paraId="64841EB3" w14:textId="77777777" w:rsidR="00B65635" w:rsidRDefault="00000000">
            <w:pPr>
              <w:keepNext/>
              <w:keepLines/>
              <w:spacing w:after="0" w:line="240" w:lineRule="auto"/>
            </w:pPr>
            <w:r>
              <w:rPr>
                <w:sz w:val="18"/>
              </w:rPr>
              <w:t>7</w:t>
            </w:r>
          </w:p>
        </w:tc>
        <w:tc>
          <w:tcPr>
            <w:tcW w:w="3180" w:type="dxa"/>
            <w:tcMar>
              <w:top w:w="0" w:type="dxa"/>
              <w:bottom w:w="0" w:type="dxa"/>
            </w:tcMar>
            <w:vAlign w:val="center"/>
          </w:tcPr>
          <w:p w14:paraId="3B9AB735" w14:textId="77777777" w:rsidR="00B6563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9734199" w14:textId="77777777" w:rsidR="00B65635" w:rsidRDefault="00000000">
            <w:pPr>
              <w:keepNext/>
              <w:keepLines/>
              <w:spacing w:after="0" w:line="240" w:lineRule="auto"/>
            </w:pPr>
            <w:r>
              <w:rPr>
                <w:sz w:val="18"/>
              </w:rPr>
              <w:t>7</w:t>
            </w:r>
          </w:p>
        </w:tc>
        <w:tc>
          <w:tcPr>
            <w:tcW w:w="1860" w:type="dxa"/>
            <w:tcMar>
              <w:top w:w="0" w:type="dxa"/>
              <w:bottom w:w="0" w:type="dxa"/>
            </w:tcMar>
            <w:vAlign w:val="center"/>
          </w:tcPr>
          <w:p w14:paraId="15A86027" w14:textId="77777777" w:rsidR="00B65635" w:rsidRDefault="00000000">
            <w:pPr>
              <w:keepNext/>
              <w:keepLines/>
              <w:spacing w:after="0" w:line="240" w:lineRule="auto"/>
              <w:jc w:val="right"/>
            </w:pPr>
            <w:r>
              <w:rPr>
                <w:sz w:val="18"/>
              </w:rPr>
              <w:t>24.262,60</w:t>
            </w:r>
          </w:p>
        </w:tc>
        <w:tc>
          <w:tcPr>
            <w:tcW w:w="1860" w:type="dxa"/>
            <w:tcMar>
              <w:top w:w="0" w:type="dxa"/>
              <w:bottom w:w="0" w:type="dxa"/>
            </w:tcMar>
            <w:vAlign w:val="center"/>
          </w:tcPr>
          <w:p w14:paraId="777D7C46" w14:textId="77777777" w:rsidR="00B65635" w:rsidRDefault="00000000">
            <w:pPr>
              <w:keepNext/>
              <w:keepLines/>
              <w:spacing w:after="0" w:line="240" w:lineRule="auto"/>
              <w:jc w:val="right"/>
            </w:pPr>
            <w:r>
              <w:rPr>
                <w:sz w:val="18"/>
              </w:rPr>
              <w:t>0,00</w:t>
            </w:r>
          </w:p>
        </w:tc>
        <w:tc>
          <w:tcPr>
            <w:tcW w:w="700" w:type="dxa"/>
            <w:tcMar>
              <w:top w:w="0" w:type="dxa"/>
              <w:bottom w:w="0" w:type="dxa"/>
            </w:tcMar>
            <w:vAlign w:val="center"/>
          </w:tcPr>
          <w:p w14:paraId="24158DE8" w14:textId="77777777" w:rsidR="00B65635" w:rsidRDefault="00000000">
            <w:pPr>
              <w:keepNext/>
              <w:keepLines/>
              <w:spacing w:after="0" w:line="240" w:lineRule="auto"/>
              <w:jc w:val="right"/>
            </w:pPr>
            <w:r>
              <w:rPr>
                <w:sz w:val="18"/>
              </w:rPr>
              <w:t>0</w:t>
            </w:r>
          </w:p>
        </w:tc>
      </w:tr>
      <w:tr w:rsidR="00B65635" w14:paraId="36590527" w14:textId="77777777">
        <w:tblPrEx>
          <w:tblCellMar>
            <w:top w:w="0" w:type="dxa"/>
            <w:bottom w:w="0" w:type="dxa"/>
          </w:tblCellMar>
        </w:tblPrEx>
        <w:trPr>
          <w:cantSplit/>
          <w:trHeight w:val="560"/>
        </w:trPr>
        <w:tc>
          <w:tcPr>
            <w:tcW w:w="700" w:type="dxa"/>
            <w:tcMar>
              <w:top w:w="0" w:type="dxa"/>
              <w:bottom w:w="0" w:type="dxa"/>
            </w:tcMar>
            <w:vAlign w:val="center"/>
          </w:tcPr>
          <w:p w14:paraId="78E5CAD5" w14:textId="77777777" w:rsidR="00B65635" w:rsidRDefault="00000000">
            <w:pPr>
              <w:keepNext/>
              <w:keepLines/>
              <w:spacing w:after="0" w:line="240" w:lineRule="auto"/>
            </w:pPr>
            <w:r>
              <w:rPr>
                <w:sz w:val="18"/>
              </w:rPr>
              <w:t>4</w:t>
            </w:r>
          </w:p>
        </w:tc>
        <w:tc>
          <w:tcPr>
            <w:tcW w:w="3180" w:type="dxa"/>
            <w:tcMar>
              <w:top w:w="0" w:type="dxa"/>
              <w:bottom w:w="0" w:type="dxa"/>
            </w:tcMar>
            <w:vAlign w:val="center"/>
          </w:tcPr>
          <w:p w14:paraId="22A35753" w14:textId="77777777" w:rsidR="00B6563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F59CE10" w14:textId="77777777" w:rsidR="00B65635" w:rsidRDefault="00000000">
            <w:pPr>
              <w:keepNext/>
              <w:keepLines/>
              <w:spacing w:after="0" w:line="240" w:lineRule="auto"/>
            </w:pPr>
            <w:r>
              <w:rPr>
                <w:sz w:val="18"/>
              </w:rPr>
              <w:t>4</w:t>
            </w:r>
          </w:p>
        </w:tc>
        <w:tc>
          <w:tcPr>
            <w:tcW w:w="1860" w:type="dxa"/>
            <w:tcMar>
              <w:top w:w="0" w:type="dxa"/>
              <w:bottom w:w="0" w:type="dxa"/>
            </w:tcMar>
            <w:vAlign w:val="center"/>
          </w:tcPr>
          <w:p w14:paraId="63431D84" w14:textId="77777777" w:rsidR="00B65635" w:rsidRDefault="00000000">
            <w:pPr>
              <w:keepNext/>
              <w:keepLines/>
              <w:spacing w:after="0" w:line="240" w:lineRule="auto"/>
              <w:jc w:val="right"/>
            </w:pPr>
            <w:r>
              <w:rPr>
                <w:sz w:val="18"/>
              </w:rPr>
              <w:t>1.025.906,49</w:t>
            </w:r>
          </w:p>
        </w:tc>
        <w:tc>
          <w:tcPr>
            <w:tcW w:w="1860" w:type="dxa"/>
            <w:tcMar>
              <w:top w:w="0" w:type="dxa"/>
              <w:bottom w:w="0" w:type="dxa"/>
            </w:tcMar>
            <w:vAlign w:val="center"/>
          </w:tcPr>
          <w:p w14:paraId="20D04BC3" w14:textId="77777777" w:rsidR="00B65635" w:rsidRDefault="00000000">
            <w:pPr>
              <w:keepNext/>
              <w:keepLines/>
              <w:spacing w:after="0" w:line="240" w:lineRule="auto"/>
              <w:jc w:val="right"/>
            </w:pPr>
            <w:r>
              <w:rPr>
                <w:sz w:val="18"/>
              </w:rPr>
              <w:t>1.454.311,01</w:t>
            </w:r>
          </w:p>
        </w:tc>
        <w:tc>
          <w:tcPr>
            <w:tcW w:w="700" w:type="dxa"/>
            <w:tcMar>
              <w:top w:w="0" w:type="dxa"/>
              <w:bottom w:w="0" w:type="dxa"/>
            </w:tcMar>
            <w:vAlign w:val="center"/>
          </w:tcPr>
          <w:p w14:paraId="71F74683" w14:textId="77777777" w:rsidR="00B65635" w:rsidRDefault="00000000">
            <w:pPr>
              <w:keepNext/>
              <w:keepLines/>
              <w:spacing w:after="0" w:line="240" w:lineRule="auto"/>
              <w:jc w:val="right"/>
            </w:pPr>
            <w:r>
              <w:rPr>
                <w:sz w:val="18"/>
              </w:rPr>
              <w:t>141,8</w:t>
            </w:r>
          </w:p>
        </w:tc>
      </w:tr>
      <w:tr w:rsidR="00B65635" w14:paraId="0C00F323" w14:textId="77777777">
        <w:tblPrEx>
          <w:tblCellMar>
            <w:top w:w="0" w:type="dxa"/>
            <w:bottom w:w="0" w:type="dxa"/>
          </w:tblCellMar>
        </w:tblPrEx>
        <w:trPr>
          <w:cantSplit/>
          <w:trHeight w:val="560"/>
        </w:trPr>
        <w:tc>
          <w:tcPr>
            <w:tcW w:w="700" w:type="dxa"/>
            <w:tcMar>
              <w:top w:w="0" w:type="dxa"/>
              <w:bottom w:w="0" w:type="dxa"/>
            </w:tcMar>
            <w:vAlign w:val="center"/>
          </w:tcPr>
          <w:p w14:paraId="102782DC" w14:textId="77777777" w:rsidR="00B65635" w:rsidRDefault="00B65635">
            <w:pPr>
              <w:keepNext/>
              <w:keepLines/>
              <w:spacing w:after="0" w:line="240" w:lineRule="auto"/>
            </w:pPr>
          </w:p>
        </w:tc>
        <w:tc>
          <w:tcPr>
            <w:tcW w:w="3180" w:type="dxa"/>
            <w:tcMar>
              <w:top w:w="0" w:type="dxa"/>
              <w:bottom w:w="0" w:type="dxa"/>
            </w:tcMar>
            <w:vAlign w:val="center"/>
          </w:tcPr>
          <w:p w14:paraId="56D3F5A8" w14:textId="77777777" w:rsidR="00B6563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C840FAA" w14:textId="77777777" w:rsidR="00B65635" w:rsidRDefault="00000000">
            <w:pPr>
              <w:keepNext/>
              <w:keepLines/>
              <w:spacing w:after="0" w:line="240" w:lineRule="auto"/>
            </w:pPr>
            <w:r>
              <w:rPr>
                <w:b/>
                <w:sz w:val="18"/>
              </w:rPr>
              <w:t>Y002</w:t>
            </w:r>
          </w:p>
        </w:tc>
        <w:tc>
          <w:tcPr>
            <w:tcW w:w="1860" w:type="dxa"/>
            <w:tcMar>
              <w:top w:w="0" w:type="dxa"/>
              <w:bottom w:w="0" w:type="dxa"/>
            </w:tcMar>
            <w:vAlign w:val="center"/>
          </w:tcPr>
          <w:p w14:paraId="1159BA3D" w14:textId="77777777" w:rsidR="00B65635" w:rsidRDefault="00000000">
            <w:pPr>
              <w:keepNext/>
              <w:keepLines/>
              <w:spacing w:after="0" w:line="240" w:lineRule="auto"/>
              <w:jc w:val="right"/>
            </w:pPr>
            <w:r>
              <w:rPr>
                <w:b/>
                <w:sz w:val="18"/>
              </w:rPr>
              <w:t>1.001.643,89</w:t>
            </w:r>
          </w:p>
        </w:tc>
        <w:tc>
          <w:tcPr>
            <w:tcW w:w="1860" w:type="dxa"/>
            <w:tcMar>
              <w:top w:w="0" w:type="dxa"/>
              <w:bottom w:w="0" w:type="dxa"/>
            </w:tcMar>
            <w:vAlign w:val="center"/>
          </w:tcPr>
          <w:p w14:paraId="3A4A6298" w14:textId="77777777" w:rsidR="00B65635" w:rsidRDefault="00000000">
            <w:pPr>
              <w:keepNext/>
              <w:keepLines/>
              <w:spacing w:after="0" w:line="240" w:lineRule="auto"/>
              <w:jc w:val="right"/>
            </w:pPr>
            <w:r>
              <w:rPr>
                <w:b/>
                <w:sz w:val="18"/>
              </w:rPr>
              <w:t>1.454.311,01</w:t>
            </w:r>
          </w:p>
        </w:tc>
        <w:tc>
          <w:tcPr>
            <w:tcW w:w="700" w:type="dxa"/>
            <w:tcMar>
              <w:top w:w="0" w:type="dxa"/>
              <w:bottom w:w="0" w:type="dxa"/>
            </w:tcMar>
            <w:vAlign w:val="center"/>
          </w:tcPr>
          <w:p w14:paraId="52B5300B" w14:textId="77777777" w:rsidR="00B65635" w:rsidRDefault="00000000">
            <w:pPr>
              <w:keepNext/>
              <w:keepLines/>
              <w:spacing w:after="0" w:line="240" w:lineRule="auto"/>
              <w:jc w:val="right"/>
            </w:pPr>
            <w:r>
              <w:rPr>
                <w:b/>
                <w:sz w:val="18"/>
              </w:rPr>
              <w:t>145,2</w:t>
            </w:r>
          </w:p>
        </w:tc>
      </w:tr>
      <w:tr w:rsidR="00B65635" w14:paraId="37B89CA7" w14:textId="77777777">
        <w:tblPrEx>
          <w:tblCellMar>
            <w:top w:w="0" w:type="dxa"/>
            <w:bottom w:w="0" w:type="dxa"/>
          </w:tblCellMar>
        </w:tblPrEx>
        <w:trPr>
          <w:cantSplit/>
          <w:trHeight w:val="560"/>
        </w:trPr>
        <w:tc>
          <w:tcPr>
            <w:tcW w:w="700" w:type="dxa"/>
            <w:tcMar>
              <w:top w:w="0" w:type="dxa"/>
              <w:bottom w:w="0" w:type="dxa"/>
            </w:tcMar>
            <w:vAlign w:val="center"/>
          </w:tcPr>
          <w:p w14:paraId="1B7C30BA" w14:textId="77777777" w:rsidR="00B65635" w:rsidRDefault="00000000">
            <w:pPr>
              <w:keepNext/>
              <w:keepLines/>
              <w:spacing w:after="0" w:line="240" w:lineRule="auto"/>
            </w:pPr>
            <w:r>
              <w:rPr>
                <w:sz w:val="18"/>
              </w:rPr>
              <w:t>8</w:t>
            </w:r>
          </w:p>
        </w:tc>
        <w:tc>
          <w:tcPr>
            <w:tcW w:w="3180" w:type="dxa"/>
            <w:tcMar>
              <w:top w:w="0" w:type="dxa"/>
              <w:bottom w:w="0" w:type="dxa"/>
            </w:tcMar>
            <w:vAlign w:val="center"/>
          </w:tcPr>
          <w:p w14:paraId="06660D17" w14:textId="77777777" w:rsidR="00B6563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410E3B4" w14:textId="77777777" w:rsidR="00B65635" w:rsidRDefault="00000000">
            <w:pPr>
              <w:keepNext/>
              <w:keepLines/>
              <w:spacing w:after="0" w:line="240" w:lineRule="auto"/>
            </w:pPr>
            <w:r>
              <w:rPr>
                <w:sz w:val="18"/>
              </w:rPr>
              <w:t>8</w:t>
            </w:r>
          </w:p>
        </w:tc>
        <w:tc>
          <w:tcPr>
            <w:tcW w:w="1860" w:type="dxa"/>
            <w:tcMar>
              <w:top w:w="0" w:type="dxa"/>
              <w:bottom w:w="0" w:type="dxa"/>
            </w:tcMar>
            <w:vAlign w:val="center"/>
          </w:tcPr>
          <w:p w14:paraId="66FC3AA4" w14:textId="77777777" w:rsidR="00B65635" w:rsidRDefault="00000000">
            <w:pPr>
              <w:keepNext/>
              <w:keepLines/>
              <w:spacing w:after="0" w:line="240" w:lineRule="auto"/>
              <w:jc w:val="right"/>
            </w:pPr>
            <w:r>
              <w:rPr>
                <w:sz w:val="18"/>
              </w:rPr>
              <w:t>165.000,00</w:t>
            </w:r>
          </w:p>
        </w:tc>
        <w:tc>
          <w:tcPr>
            <w:tcW w:w="1860" w:type="dxa"/>
            <w:tcMar>
              <w:top w:w="0" w:type="dxa"/>
              <w:bottom w:w="0" w:type="dxa"/>
            </w:tcMar>
            <w:vAlign w:val="center"/>
          </w:tcPr>
          <w:p w14:paraId="7562A601" w14:textId="77777777" w:rsidR="00B65635" w:rsidRDefault="00000000">
            <w:pPr>
              <w:keepNext/>
              <w:keepLines/>
              <w:spacing w:after="0" w:line="240" w:lineRule="auto"/>
              <w:jc w:val="right"/>
            </w:pPr>
            <w:r>
              <w:rPr>
                <w:sz w:val="18"/>
              </w:rPr>
              <w:t>1.016.130,50</w:t>
            </w:r>
          </w:p>
        </w:tc>
        <w:tc>
          <w:tcPr>
            <w:tcW w:w="700" w:type="dxa"/>
            <w:tcMar>
              <w:top w:w="0" w:type="dxa"/>
              <w:bottom w:w="0" w:type="dxa"/>
            </w:tcMar>
            <w:vAlign w:val="center"/>
          </w:tcPr>
          <w:p w14:paraId="64875AF0" w14:textId="77777777" w:rsidR="00B65635" w:rsidRDefault="00000000">
            <w:pPr>
              <w:keepNext/>
              <w:keepLines/>
              <w:spacing w:after="0" w:line="240" w:lineRule="auto"/>
              <w:jc w:val="right"/>
            </w:pPr>
            <w:r>
              <w:rPr>
                <w:sz w:val="18"/>
              </w:rPr>
              <w:t>615,8</w:t>
            </w:r>
          </w:p>
        </w:tc>
      </w:tr>
      <w:tr w:rsidR="00B65635" w14:paraId="45F319AF" w14:textId="77777777">
        <w:tblPrEx>
          <w:tblCellMar>
            <w:top w:w="0" w:type="dxa"/>
            <w:bottom w:w="0" w:type="dxa"/>
          </w:tblCellMar>
        </w:tblPrEx>
        <w:trPr>
          <w:cantSplit/>
          <w:trHeight w:val="560"/>
        </w:trPr>
        <w:tc>
          <w:tcPr>
            <w:tcW w:w="700" w:type="dxa"/>
            <w:tcMar>
              <w:top w:w="0" w:type="dxa"/>
              <w:bottom w:w="0" w:type="dxa"/>
            </w:tcMar>
            <w:vAlign w:val="center"/>
          </w:tcPr>
          <w:p w14:paraId="405E88FC" w14:textId="77777777" w:rsidR="00B65635" w:rsidRDefault="00000000">
            <w:pPr>
              <w:keepNext/>
              <w:keepLines/>
              <w:spacing w:after="0" w:line="240" w:lineRule="auto"/>
            </w:pPr>
            <w:r>
              <w:rPr>
                <w:sz w:val="18"/>
              </w:rPr>
              <w:t>5</w:t>
            </w:r>
          </w:p>
        </w:tc>
        <w:tc>
          <w:tcPr>
            <w:tcW w:w="3180" w:type="dxa"/>
            <w:tcMar>
              <w:top w:w="0" w:type="dxa"/>
              <w:bottom w:w="0" w:type="dxa"/>
            </w:tcMar>
            <w:vAlign w:val="center"/>
          </w:tcPr>
          <w:p w14:paraId="05BA0EFB" w14:textId="77777777" w:rsidR="00B6563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DDD6815" w14:textId="77777777" w:rsidR="00B65635" w:rsidRDefault="00000000">
            <w:pPr>
              <w:keepNext/>
              <w:keepLines/>
              <w:spacing w:after="0" w:line="240" w:lineRule="auto"/>
            </w:pPr>
            <w:r>
              <w:rPr>
                <w:sz w:val="18"/>
              </w:rPr>
              <w:t>5</w:t>
            </w:r>
          </w:p>
        </w:tc>
        <w:tc>
          <w:tcPr>
            <w:tcW w:w="1860" w:type="dxa"/>
            <w:tcMar>
              <w:top w:w="0" w:type="dxa"/>
              <w:bottom w:w="0" w:type="dxa"/>
            </w:tcMar>
            <w:vAlign w:val="center"/>
          </w:tcPr>
          <w:p w14:paraId="41EED09C" w14:textId="77777777" w:rsidR="00B65635" w:rsidRDefault="00000000">
            <w:pPr>
              <w:keepNext/>
              <w:keepLines/>
              <w:spacing w:after="0" w:line="240" w:lineRule="auto"/>
              <w:jc w:val="right"/>
            </w:pPr>
            <w:r>
              <w:rPr>
                <w:sz w:val="18"/>
              </w:rPr>
              <w:t>175.966,51</w:t>
            </w:r>
          </w:p>
        </w:tc>
        <w:tc>
          <w:tcPr>
            <w:tcW w:w="1860" w:type="dxa"/>
            <w:tcMar>
              <w:top w:w="0" w:type="dxa"/>
              <w:bottom w:w="0" w:type="dxa"/>
            </w:tcMar>
            <w:vAlign w:val="center"/>
          </w:tcPr>
          <w:p w14:paraId="01C5C87E" w14:textId="77777777" w:rsidR="00B65635" w:rsidRDefault="00000000">
            <w:pPr>
              <w:keepNext/>
              <w:keepLines/>
              <w:spacing w:after="0" w:line="240" w:lineRule="auto"/>
              <w:jc w:val="right"/>
            </w:pPr>
            <w:r>
              <w:rPr>
                <w:sz w:val="18"/>
              </w:rPr>
              <w:t>589.404,76</w:t>
            </w:r>
          </w:p>
        </w:tc>
        <w:tc>
          <w:tcPr>
            <w:tcW w:w="700" w:type="dxa"/>
            <w:tcMar>
              <w:top w:w="0" w:type="dxa"/>
              <w:bottom w:w="0" w:type="dxa"/>
            </w:tcMar>
            <w:vAlign w:val="center"/>
          </w:tcPr>
          <w:p w14:paraId="1BA938C2" w14:textId="77777777" w:rsidR="00B65635" w:rsidRDefault="00000000">
            <w:pPr>
              <w:keepNext/>
              <w:keepLines/>
              <w:spacing w:after="0" w:line="240" w:lineRule="auto"/>
              <w:jc w:val="right"/>
            </w:pPr>
            <w:r>
              <w:rPr>
                <w:sz w:val="18"/>
              </w:rPr>
              <w:t>335,0</w:t>
            </w:r>
          </w:p>
        </w:tc>
      </w:tr>
      <w:tr w:rsidR="00B65635" w14:paraId="0E84DD3A" w14:textId="77777777">
        <w:tblPrEx>
          <w:tblCellMar>
            <w:top w:w="0" w:type="dxa"/>
            <w:bottom w:w="0" w:type="dxa"/>
          </w:tblCellMar>
        </w:tblPrEx>
        <w:trPr>
          <w:cantSplit/>
          <w:trHeight w:val="560"/>
        </w:trPr>
        <w:tc>
          <w:tcPr>
            <w:tcW w:w="700" w:type="dxa"/>
            <w:tcMar>
              <w:top w:w="0" w:type="dxa"/>
              <w:bottom w:w="0" w:type="dxa"/>
            </w:tcMar>
            <w:vAlign w:val="center"/>
          </w:tcPr>
          <w:p w14:paraId="1A2D29B1" w14:textId="77777777" w:rsidR="00B65635" w:rsidRDefault="00B65635">
            <w:pPr>
              <w:keepNext/>
              <w:keepLines/>
              <w:spacing w:after="0" w:line="240" w:lineRule="auto"/>
            </w:pPr>
          </w:p>
        </w:tc>
        <w:tc>
          <w:tcPr>
            <w:tcW w:w="3180" w:type="dxa"/>
            <w:tcMar>
              <w:top w:w="0" w:type="dxa"/>
              <w:bottom w:w="0" w:type="dxa"/>
            </w:tcMar>
            <w:vAlign w:val="center"/>
          </w:tcPr>
          <w:p w14:paraId="51A519FB" w14:textId="77777777" w:rsidR="00B65635"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45E2923E" w14:textId="77777777" w:rsidR="00B65635" w:rsidRDefault="00000000">
            <w:pPr>
              <w:keepNext/>
              <w:keepLines/>
              <w:spacing w:after="0" w:line="240" w:lineRule="auto"/>
            </w:pPr>
            <w:r>
              <w:rPr>
                <w:b/>
                <w:sz w:val="18"/>
              </w:rPr>
              <w:t>X003</w:t>
            </w:r>
          </w:p>
        </w:tc>
        <w:tc>
          <w:tcPr>
            <w:tcW w:w="1860" w:type="dxa"/>
            <w:tcMar>
              <w:top w:w="0" w:type="dxa"/>
              <w:bottom w:w="0" w:type="dxa"/>
            </w:tcMar>
            <w:vAlign w:val="center"/>
          </w:tcPr>
          <w:p w14:paraId="2011291F" w14:textId="77777777" w:rsidR="00B65635" w:rsidRDefault="00000000">
            <w:pPr>
              <w:keepNext/>
              <w:keepLines/>
              <w:spacing w:after="0" w:line="240" w:lineRule="auto"/>
              <w:jc w:val="right"/>
            </w:pPr>
            <w:r>
              <w:rPr>
                <w:b/>
                <w:sz w:val="18"/>
              </w:rPr>
              <w:t>0,00</w:t>
            </w:r>
          </w:p>
        </w:tc>
        <w:tc>
          <w:tcPr>
            <w:tcW w:w="1860" w:type="dxa"/>
            <w:tcMar>
              <w:top w:w="0" w:type="dxa"/>
              <w:bottom w:w="0" w:type="dxa"/>
            </w:tcMar>
            <w:vAlign w:val="center"/>
          </w:tcPr>
          <w:p w14:paraId="4D634082" w14:textId="77777777" w:rsidR="00B65635" w:rsidRDefault="00000000">
            <w:pPr>
              <w:keepNext/>
              <w:keepLines/>
              <w:spacing w:after="0" w:line="240" w:lineRule="auto"/>
              <w:jc w:val="right"/>
            </w:pPr>
            <w:r>
              <w:rPr>
                <w:b/>
                <w:sz w:val="18"/>
              </w:rPr>
              <w:t>426.725,74</w:t>
            </w:r>
          </w:p>
        </w:tc>
        <w:tc>
          <w:tcPr>
            <w:tcW w:w="700" w:type="dxa"/>
            <w:tcMar>
              <w:top w:w="0" w:type="dxa"/>
              <w:bottom w:w="0" w:type="dxa"/>
            </w:tcMar>
            <w:vAlign w:val="center"/>
          </w:tcPr>
          <w:p w14:paraId="73AEA88B" w14:textId="77777777" w:rsidR="00B65635" w:rsidRDefault="00000000">
            <w:pPr>
              <w:keepNext/>
              <w:keepLines/>
              <w:spacing w:after="0" w:line="240" w:lineRule="auto"/>
              <w:jc w:val="right"/>
            </w:pPr>
            <w:r>
              <w:rPr>
                <w:b/>
                <w:sz w:val="18"/>
              </w:rPr>
              <w:t>-</w:t>
            </w:r>
          </w:p>
        </w:tc>
      </w:tr>
      <w:tr w:rsidR="00B65635" w14:paraId="16551011" w14:textId="77777777">
        <w:tblPrEx>
          <w:tblCellMar>
            <w:top w:w="0" w:type="dxa"/>
            <w:bottom w:w="0" w:type="dxa"/>
          </w:tblCellMar>
        </w:tblPrEx>
        <w:trPr>
          <w:cantSplit/>
          <w:trHeight w:val="560"/>
        </w:trPr>
        <w:tc>
          <w:tcPr>
            <w:tcW w:w="700" w:type="dxa"/>
            <w:tcMar>
              <w:top w:w="0" w:type="dxa"/>
              <w:bottom w:w="0" w:type="dxa"/>
            </w:tcMar>
            <w:vAlign w:val="center"/>
          </w:tcPr>
          <w:p w14:paraId="1A27AFF2" w14:textId="77777777" w:rsidR="00B65635" w:rsidRDefault="00B65635">
            <w:pPr>
              <w:keepNext/>
              <w:keepLines/>
              <w:spacing w:after="0" w:line="240" w:lineRule="auto"/>
            </w:pPr>
          </w:p>
        </w:tc>
        <w:tc>
          <w:tcPr>
            <w:tcW w:w="3180" w:type="dxa"/>
            <w:tcMar>
              <w:top w:w="0" w:type="dxa"/>
              <w:bottom w:w="0" w:type="dxa"/>
            </w:tcMar>
            <w:vAlign w:val="center"/>
          </w:tcPr>
          <w:p w14:paraId="7F95A164" w14:textId="77777777" w:rsidR="00B65635"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A5D684C" w14:textId="77777777" w:rsidR="00B65635" w:rsidRDefault="00000000">
            <w:pPr>
              <w:keepNext/>
              <w:keepLines/>
              <w:spacing w:after="0" w:line="240" w:lineRule="auto"/>
            </w:pPr>
            <w:r>
              <w:rPr>
                <w:b/>
                <w:sz w:val="18"/>
              </w:rPr>
              <w:t>Y005</w:t>
            </w:r>
          </w:p>
        </w:tc>
        <w:tc>
          <w:tcPr>
            <w:tcW w:w="1860" w:type="dxa"/>
            <w:tcMar>
              <w:top w:w="0" w:type="dxa"/>
              <w:bottom w:w="0" w:type="dxa"/>
            </w:tcMar>
            <w:vAlign w:val="center"/>
          </w:tcPr>
          <w:p w14:paraId="5C7705E6" w14:textId="77777777" w:rsidR="00B65635" w:rsidRDefault="00000000">
            <w:pPr>
              <w:keepNext/>
              <w:keepLines/>
              <w:spacing w:after="0" w:line="240" w:lineRule="auto"/>
              <w:jc w:val="right"/>
            </w:pPr>
            <w:r>
              <w:rPr>
                <w:b/>
                <w:sz w:val="18"/>
              </w:rPr>
              <w:t>96.005,71</w:t>
            </w:r>
          </w:p>
        </w:tc>
        <w:tc>
          <w:tcPr>
            <w:tcW w:w="1860" w:type="dxa"/>
            <w:tcMar>
              <w:top w:w="0" w:type="dxa"/>
              <w:bottom w:w="0" w:type="dxa"/>
            </w:tcMar>
            <w:vAlign w:val="center"/>
          </w:tcPr>
          <w:p w14:paraId="5D2A1DAC" w14:textId="77777777" w:rsidR="00B65635" w:rsidRDefault="00000000">
            <w:pPr>
              <w:keepNext/>
              <w:keepLines/>
              <w:spacing w:after="0" w:line="240" w:lineRule="auto"/>
              <w:jc w:val="right"/>
            </w:pPr>
            <w:r>
              <w:rPr>
                <w:b/>
                <w:sz w:val="18"/>
              </w:rPr>
              <w:t>712.670,67</w:t>
            </w:r>
          </w:p>
        </w:tc>
        <w:tc>
          <w:tcPr>
            <w:tcW w:w="700" w:type="dxa"/>
            <w:tcMar>
              <w:top w:w="0" w:type="dxa"/>
              <w:bottom w:w="0" w:type="dxa"/>
            </w:tcMar>
            <w:vAlign w:val="center"/>
          </w:tcPr>
          <w:p w14:paraId="33C13683" w14:textId="77777777" w:rsidR="00B65635" w:rsidRDefault="00000000">
            <w:pPr>
              <w:keepNext/>
              <w:keepLines/>
              <w:spacing w:after="0" w:line="240" w:lineRule="auto"/>
              <w:jc w:val="right"/>
            </w:pPr>
            <w:r>
              <w:rPr>
                <w:b/>
                <w:sz w:val="18"/>
              </w:rPr>
              <w:t>742,3</w:t>
            </w:r>
          </w:p>
        </w:tc>
      </w:tr>
    </w:tbl>
    <w:p w14:paraId="585612CC" w14:textId="77777777" w:rsidR="00B65635" w:rsidRDefault="00B65635">
      <w:pPr>
        <w:spacing w:after="0"/>
      </w:pPr>
    </w:p>
    <w:p w14:paraId="791C05E8" w14:textId="77777777" w:rsidR="00B65635" w:rsidRDefault="00000000">
      <w:r>
        <w:t xml:space="preserve">Općina Kloštar Podravski zapošljava u prosjeku 9 zaposlenika JUO-a. U izvještajnom razdoblju vršene su pripreme za više kapitalnih projekata, neki od njih su realizirani u ovom razdoblju dok se realizacija ostalih projekata provodi prema planiranom rasporedu i financijskim mogućnostima. Najznačajniji projekti su: Tržnica, Aglomeracija, nadogradnja dječjeg vrtića i dr. Provodi se i program "Zaželi" u kojem je zaposleno 20 radnika. U ovom razdoblju ostvareni su prihodi poslovanja u iznosu od 2.500.659,56 eura, rashodi poslovanja u </w:t>
      </w:r>
      <w:r>
        <w:lastRenderedPageBreak/>
        <w:t>iznosu od 2.185.744,96 eura. Ukupni rashodi za nabavu nefinancijske imovine iznose 1.454.311,01 euro, ukupni primici od financijske imovine iznose 1.016.130,50 eura, ukupni izdaci za otplatu kredita iznose 589.404,76 eura. Samim time imamo manjak prihoda i primitaka u iznosu od 712.670,67 eura.</w:t>
      </w:r>
    </w:p>
    <w:p w14:paraId="431B8167" w14:textId="77777777" w:rsidR="00B65635" w:rsidRDefault="00000000">
      <w:r>
        <w:br/>
      </w:r>
    </w:p>
    <w:p w14:paraId="11402A75" w14:textId="77777777" w:rsidR="00B6563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2E6F82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A97C67"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167A93"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69163F"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87353F"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127ADF"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006D57" w14:textId="77777777" w:rsidR="00B65635" w:rsidRDefault="00000000">
            <w:pPr>
              <w:keepNext/>
              <w:keepLines/>
              <w:spacing w:after="0" w:line="240" w:lineRule="auto"/>
              <w:jc w:val="center"/>
            </w:pPr>
            <w:r>
              <w:rPr>
                <w:b/>
                <w:sz w:val="18"/>
              </w:rPr>
              <w:t>Indeks (%)</w:t>
            </w:r>
          </w:p>
        </w:tc>
      </w:tr>
      <w:tr w:rsidR="00B65635" w14:paraId="4B752766" w14:textId="77777777">
        <w:tblPrEx>
          <w:tblCellMar>
            <w:top w:w="0" w:type="dxa"/>
            <w:bottom w:w="0" w:type="dxa"/>
          </w:tblCellMar>
        </w:tblPrEx>
        <w:trPr>
          <w:cantSplit/>
          <w:trHeight w:val="560"/>
        </w:trPr>
        <w:tc>
          <w:tcPr>
            <w:tcW w:w="700" w:type="dxa"/>
            <w:tcMar>
              <w:top w:w="0" w:type="dxa"/>
              <w:bottom w:w="0" w:type="dxa"/>
            </w:tcMar>
            <w:vAlign w:val="center"/>
          </w:tcPr>
          <w:p w14:paraId="06EEC89D" w14:textId="77777777" w:rsidR="00B65635" w:rsidRDefault="00000000">
            <w:pPr>
              <w:keepNext/>
              <w:keepLines/>
              <w:spacing w:after="0" w:line="240" w:lineRule="auto"/>
            </w:pPr>
            <w:r>
              <w:rPr>
                <w:sz w:val="18"/>
              </w:rPr>
              <w:t>6</w:t>
            </w:r>
          </w:p>
        </w:tc>
        <w:tc>
          <w:tcPr>
            <w:tcW w:w="3180" w:type="dxa"/>
            <w:tcMar>
              <w:top w:w="0" w:type="dxa"/>
              <w:bottom w:w="0" w:type="dxa"/>
            </w:tcMar>
            <w:vAlign w:val="center"/>
          </w:tcPr>
          <w:p w14:paraId="1192ED87" w14:textId="77777777" w:rsidR="00B6563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CAF1A40" w14:textId="77777777" w:rsidR="00B65635" w:rsidRDefault="00000000">
            <w:pPr>
              <w:keepNext/>
              <w:keepLines/>
              <w:spacing w:after="0" w:line="240" w:lineRule="auto"/>
            </w:pPr>
            <w:r>
              <w:rPr>
                <w:sz w:val="18"/>
              </w:rPr>
              <w:t>6</w:t>
            </w:r>
          </w:p>
        </w:tc>
        <w:tc>
          <w:tcPr>
            <w:tcW w:w="1860" w:type="dxa"/>
            <w:tcMar>
              <w:top w:w="0" w:type="dxa"/>
              <w:bottom w:w="0" w:type="dxa"/>
            </w:tcMar>
            <w:vAlign w:val="center"/>
          </w:tcPr>
          <w:p w14:paraId="748EEAA7" w14:textId="77777777" w:rsidR="00B65635" w:rsidRDefault="00000000">
            <w:pPr>
              <w:keepNext/>
              <w:keepLines/>
              <w:spacing w:after="0" w:line="240" w:lineRule="auto"/>
              <w:jc w:val="right"/>
            </w:pPr>
            <w:r>
              <w:rPr>
                <w:sz w:val="18"/>
              </w:rPr>
              <w:t>2.847.173,44</w:t>
            </w:r>
          </w:p>
        </w:tc>
        <w:tc>
          <w:tcPr>
            <w:tcW w:w="1860" w:type="dxa"/>
            <w:tcMar>
              <w:top w:w="0" w:type="dxa"/>
              <w:bottom w:w="0" w:type="dxa"/>
            </w:tcMar>
            <w:vAlign w:val="center"/>
          </w:tcPr>
          <w:p w14:paraId="29CD0DF8" w14:textId="77777777" w:rsidR="00B65635" w:rsidRDefault="00000000">
            <w:pPr>
              <w:keepNext/>
              <w:keepLines/>
              <w:spacing w:after="0" w:line="240" w:lineRule="auto"/>
              <w:jc w:val="right"/>
            </w:pPr>
            <w:r>
              <w:rPr>
                <w:sz w:val="18"/>
              </w:rPr>
              <w:t>2.500.659,56</w:t>
            </w:r>
          </w:p>
        </w:tc>
        <w:tc>
          <w:tcPr>
            <w:tcW w:w="700" w:type="dxa"/>
            <w:tcMar>
              <w:top w:w="0" w:type="dxa"/>
              <w:bottom w:w="0" w:type="dxa"/>
            </w:tcMar>
            <w:vAlign w:val="center"/>
          </w:tcPr>
          <w:p w14:paraId="3A9D9BF7" w14:textId="77777777" w:rsidR="00B65635" w:rsidRDefault="00000000">
            <w:pPr>
              <w:keepNext/>
              <w:keepLines/>
              <w:spacing w:after="0" w:line="240" w:lineRule="auto"/>
              <w:jc w:val="right"/>
            </w:pPr>
            <w:r>
              <w:rPr>
                <w:sz w:val="18"/>
              </w:rPr>
              <w:t>87,8</w:t>
            </w:r>
          </w:p>
        </w:tc>
      </w:tr>
    </w:tbl>
    <w:p w14:paraId="687557A2" w14:textId="77777777" w:rsidR="00B65635" w:rsidRDefault="00B65635">
      <w:pPr>
        <w:spacing w:after="0"/>
      </w:pPr>
    </w:p>
    <w:p w14:paraId="78AFCB0C" w14:textId="77777777" w:rsidR="00B65635" w:rsidRDefault="00000000">
      <w:r>
        <w:t>Ostvarenje prihoda u izvještajnom razdoblju bilo je manje za cca 13% u odnosu na prošlu godinu.</w:t>
      </w:r>
    </w:p>
    <w:p w14:paraId="0B0D8C77" w14:textId="77777777" w:rsidR="00B65635" w:rsidRDefault="00B65635"/>
    <w:p w14:paraId="21D26382" w14:textId="77777777" w:rsidR="00B6563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2D8C3D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40477F"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03A1BE"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097E5"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FE390"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B9FBE5"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0143A0" w14:textId="77777777" w:rsidR="00B65635" w:rsidRDefault="00000000">
            <w:pPr>
              <w:keepNext/>
              <w:keepLines/>
              <w:spacing w:after="0" w:line="240" w:lineRule="auto"/>
              <w:jc w:val="center"/>
            </w:pPr>
            <w:r>
              <w:rPr>
                <w:b/>
                <w:sz w:val="18"/>
              </w:rPr>
              <w:t>Indeks (%)</w:t>
            </w:r>
          </w:p>
        </w:tc>
      </w:tr>
      <w:tr w:rsidR="00B65635" w14:paraId="73C39545" w14:textId="77777777">
        <w:tblPrEx>
          <w:tblCellMar>
            <w:top w:w="0" w:type="dxa"/>
            <w:bottom w:w="0" w:type="dxa"/>
          </w:tblCellMar>
        </w:tblPrEx>
        <w:trPr>
          <w:cantSplit/>
          <w:trHeight w:val="560"/>
        </w:trPr>
        <w:tc>
          <w:tcPr>
            <w:tcW w:w="700" w:type="dxa"/>
            <w:tcMar>
              <w:top w:w="0" w:type="dxa"/>
              <w:bottom w:w="0" w:type="dxa"/>
            </w:tcMar>
            <w:vAlign w:val="center"/>
          </w:tcPr>
          <w:p w14:paraId="781677D8" w14:textId="77777777" w:rsidR="00B65635" w:rsidRDefault="00000000">
            <w:pPr>
              <w:keepNext/>
              <w:keepLines/>
              <w:spacing w:after="0" w:line="240" w:lineRule="auto"/>
            </w:pPr>
            <w:r>
              <w:rPr>
                <w:sz w:val="18"/>
              </w:rPr>
              <w:t>61</w:t>
            </w:r>
          </w:p>
        </w:tc>
        <w:tc>
          <w:tcPr>
            <w:tcW w:w="3180" w:type="dxa"/>
            <w:tcMar>
              <w:top w:w="0" w:type="dxa"/>
              <w:bottom w:w="0" w:type="dxa"/>
            </w:tcMar>
            <w:vAlign w:val="center"/>
          </w:tcPr>
          <w:p w14:paraId="11009122" w14:textId="77777777" w:rsidR="00B65635"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5DCC7BF9" w14:textId="77777777" w:rsidR="00B65635" w:rsidRDefault="00000000">
            <w:pPr>
              <w:keepNext/>
              <w:keepLines/>
              <w:spacing w:after="0" w:line="240" w:lineRule="auto"/>
            </w:pPr>
            <w:r>
              <w:rPr>
                <w:sz w:val="18"/>
              </w:rPr>
              <w:t>61</w:t>
            </w:r>
          </w:p>
        </w:tc>
        <w:tc>
          <w:tcPr>
            <w:tcW w:w="1860" w:type="dxa"/>
            <w:tcMar>
              <w:top w:w="0" w:type="dxa"/>
              <w:bottom w:w="0" w:type="dxa"/>
            </w:tcMar>
            <w:vAlign w:val="center"/>
          </w:tcPr>
          <w:p w14:paraId="08BCE942" w14:textId="77777777" w:rsidR="00B65635" w:rsidRDefault="00000000">
            <w:pPr>
              <w:keepNext/>
              <w:keepLines/>
              <w:spacing w:after="0" w:line="240" w:lineRule="auto"/>
              <w:jc w:val="right"/>
            </w:pPr>
            <w:r>
              <w:rPr>
                <w:sz w:val="18"/>
              </w:rPr>
              <w:t>617.872,52</w:t>
            </w:r>
          </w:p>
        </w:tc>
        <w:tc>
          <w:tcPr>
            <w:tcW w:w="1860" w:type="dxa"/>
            <w:tcMar>
              <w:top w:w="0" w:type="dxa"/>
              <w:bottom w:w="0" w:type="dxa"/>
            </w:tcMar>
            <w:vAlign w:val="center"/>
          </w:tcPr>
          <w:p w14:paraId="524D4EBC" w14:textId="77777777" w:rsidR="00B65635" w:rsidRDefault="00000000">
            <w:pPr>
              <w:keepNext/>
              <w:keepLines/>
              <w:spacing w:after="0" w:line="240" w:lineRule="auto"/>
              <w:jc w:val="right"/>
            </w:pPr>
            <w:r>
              <w:rPr>
                <w:sz w:val="18"/>
              </w:rPr>
              <w:t>767.604,96</w:t>
            </w:r>
          </w:p>
        </w:tc>
        <w:tc>
          <w:tcPr>
            <w:tcW w:w="700" w:type="dxa"/>
            <w:tcMar>
              <w:top w:w="0" w:type="dxa"/>
              <w:bottom w:w="0" w:type="dxa"/>
            </w:tcMar>
            <w:vAlign w:val="center"/>
          </w:tcPr>
          <w:p w14:paraId="7AD26041" w14:textId="77777777" w:rsidR="00B65635" w:rsidRDefault="00000000">
            <w:pPr>
              <w:keepNext/>
              <w:keepLines/>
              <w:spacing w:after="0" w:line="240" w:lineRule="auto"/>
              <w:jc w:val="right"/>
            </w:pPr>
            <w:r>
              <w:rPr>
                <w:sz w:val="18"/>
              </w:rPr>
              <w:t>124,2</w:t>
            </w:r>
          </w:p>
        </w:tc>
      </w:tr>
    </w:tbl>
    <w:p w14:paraId="31427B6B" w14:textId="77777777" w:rsidR="00B65635" w:rsidRDefault="00B65635">
      <w:pPr>
        <w:spacing w:after="0"/>
      </w:pPr>
    </w:p>
    <w:p w14:paraId="5E857B61" w14:textId="77777777" w:rsidR="00B65635" w:rsidRDefault="00000000">
      <w:r>
        <w:t>Povećanje prihoda od poreza se najvećim djelom odnosi na povećanje Poreza na dohodak zbog povećanja zaposlenosti i plaća radnika koji žive na području Kloštra Podravskog.</w:t>
      </w:r>
    </w:p>
    <w:p w14:paraId="41DB2B54" w14:textId="77777777" w:rsidR="00B65635" w:rsidRDefault="00B65635"/>
    <w:p w14:paraId="101A0F5C" w14:textId="77777777" w:rsidR="00B6563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6596EE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CBE7BB"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85CA52"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AFA060"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874FD"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9D0053"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225800" w14:textId="77777777" w:rsidR="00B65635" w:rsidRDefault="00000000">
            <w:pPr>
              <w:keepNext/>
              <w:keepLines/>
              <w:spacing w:after="0" w:line="240" w:lineRule="auto"/>
              <w:jc w:val="center"/>
            </w:pPr>
            <w:r>
              <w:rPr>
                <w:b/>
                <w:sz w:val="18"/>
              </w:rPr>
              <w:t>Indeks (%)</w:t>
            </w:r>
          </w:p>
        </w:tc>
      </w:tr>
      <w:tr w:rsidR="00B65635" w14:paraId="5852D335" w14:textId="77777777">
        <w:tblPrEx>
          <w:tblCellMar>
            <w:top w:w="0" w:type="dxa"/>
            <w:bottom w:w="0" w:type="dxa"/>
          </w:tblCellMar>
        </w:tblPrEx>
        <w:trPr>
          <w:cantSplit/>
          <w:trHeight w:val="560"/>
        </w:trPr>
        <w:tc>
          <w:tcPr>
            <w:tcW w:w="700" w:type="dxa"/>
            <w:tcMar>
              <w:top w:w="0" w:type="dxa"/>
              <w:bottom w:w="0" w:type="dxa"/>
            </w:tcMar>
            <w:vAlign w:val="center"/>
          </w:tcPr>
          <w:p w14:paraId="6A584499" w14:textId="77777777" w:rsidR="00B65635" w:rsidRDefault="00000000">
            <w:pPr>
              <w:keepNext/>
              <w:keepLines/>
              <w:spacing w:after="0" w:line="240" w:lineRule="auto"/>
            </w:pPr>
            <w:r>
              <w:rPr>
                <w:sz w:val="18"/>
              </w:rPr>
              <w:t>63</w:t>
            </w:r>
          </w:p>
        </w:tc>
        <w:tc>
          <w:tcPr>
            <w:tcW w:w="3180" w:type="dxa"/>
            <w:tcMar>
              <w:top w:w="0" w:type="dxa"/>
              <w:bottom w:w="0" w:type="dxa"/>
            </w:tcMar>
            <w:vAlign w:val="center"/>
          </w:tcPr>
          <w:p w14:paraId="574C8742" w14:textId="77777777" w:rsidR="00B65635"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DEDDB79" w14:textId="77777777" w:rsidR="00B65635" w:rsidRDefault="00000000">
            <w:pPr>
              <w:keepNext/>
              <w:keepLines/>
              <w:spacing w:after="0" w:line="240" w:lineRule="auto"/>
            </w:pPr>
            <w:r>
              <w:rPr>
                <w:sz w:val="18"/>
              </w:rPr>
              <w:t>63</w:t>
            </w:r>
          </w:p>
        </w:tc>
        <w:tc>
          <w:tcPr>
            <w:tcW w:w="1860" w:type="dxa"/>
            <w:tcMar>
              <w:top w:w="0" w:type="dxa"/>
              <w:bottom w:w="0" w:type="dxa"/>
            </w:tcMar>
            <w:vAlign w:val="center"/>
          </w:tcPr>
          <w:p w14:paraId="19098B66" w14:textId="77777777" w:rsidR="00B65635" w:rsidRDefault="00000000">
            <w:pPr>
              <w:keepNext/>
              <w:keepLines/>
              <w:spacing w:after="0" w:line="240" w:lineRule="auto"/>
              <w:jc w:val="right"/>
            </w:pPr>
            <w:r>
              <w:rPr>
                <w:sz w:val="18"/>
              </w:rPr>
              <w:t>1.613.615,79</w:t>
            </w:r>
          </w:p>
        </w:tc>
        <w:tc>
          <w:tcPr>
            <w:tcW w:w="1860" w:type="dxa"/>
            <w:tcMar>
              <w:top w:w="0" w:type="dxa"/>
              <w:bottom w:w="0" w:type="dxa"/>
            </w:tcMar>
            <w:vAlign w:val="center"/>
          </w:tcPr>
          <w:p w14:paraId="1E3584C0" w14:textId="77777777" w:rsidR="00B65635" w:rsidRDefault="00000000">
            <w:pPr>
              <w:keepNext/>
              <w:keepLines/>
              <w:spacing w:after="0" w:line="240" w:lineRule="auto"/>
              <w:jc w:val="right"/>
            </w:pPr>
            <w:r>
              <w:rPr>
                <w:sz w:val="18"/>
              </w:rPr>
              <w:t>1.440.444,83</w:t>
            </w:r>
          </w:p>
        </w:tc>
        <w:tc>
          <w:tcPr>
            <w:tcW w:w="700" w:type="dxa"/>
            <w:tcMar>
              <w:top w:w="0" w:type="dxa"/>
              <w:bottom w:w="0" w:type="dxa"/>
            </w:tcMar>
            <w:vAlign w:val="center"/>
          </w:tcPr>
          <w:p w14:paraId="0632722D" w14:textId="77777777" w:rsidR="00B65635" w:rsidRDefault="00000000">
            <w:pPr>
              <w:keepNext/>
              <w:keepLines/>
              <w:spacing w:after="0" w:line="240" w:lineRule="auto"/>
              <w:jc w:val="right"/>
            </w:pPr>
            <w:r>
              <w:rPr>
                <w:sz w:val="18"/>
              </w:rPr>
              <w:t>89,3</w:t>
            </w:r>
          </w:p>
        </w:tc>
      </w:tr>
    </w:tbl>
    <w:p w14:paraId="7C7D6E31" w14:textId="77777777" w:rsidR="00B65635" w:rsidRDefault="00B65635">
      <w:pPr>
        <w:spacing w:after="0"/>
      </w:pPr>
    </w:p>
    <w:p w14:paraId="72F95B1D" w14:textId="77777777" w:rsidR="00B65635" w:rsidRDefault="00000000">
      <w:r>
        <w:t>Razlika u manjem iznosu pomoći na kontu 63 odnosi se na pomoći od međunarodnih organizacija i tijela EU. U prošlom razdoblju imali smo 497.718,94 eura koje smo dobili od APPRRR-a (vezano za projekt "Tržnice"). U ovom izvještajnom razdoblju prihodi od pomoći su uglavnom ZNS-ovi koji nam se uplaćuju zbog programa "Zaželi", te pomoći fiskalnog izravnanja u iznosu od 679.870,60 eura.</w:t>
      </w:r>
    </w:p>
    <w:p w14:paraId="6329578D" w14:textId="77777777" w:rsidR="00B65635" w:rsidRDefault="00B65635"/>
    <w:p w14:paraId="4410AB57" w14:textId="77777777" w:rsidR="00B65635"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6AFF59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8A10C1"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B1A863"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95A380"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E2E8F"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3CDB3E"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B3DBAE" w14:textId="77777777" w:rsidR="00B65635" w:rsidRDefault="00000000">
            <w:pPr>
              <w:keepNext/>
              <w:keepLines/>
              <w:spacing w:after="0" w:line="240" w:lineRule="auto"/>
              <w:jc w:val="center"/>
            </w:pPr>
            <w:r>
              <w:rPr>
                <w:b/>
                <w:sz w:val="18"/>
              </w:rPr>
              <w:t>Indeks (%)</w:t>
            </w:r>
          </w:p>
        </w:tc>
      </w:tr>
      <w:tr w:rsidR="00B65635" w14:paraId="72471A88" w14:textId="77777777">
        <w:tblPrEx>
          <w:tblCellMar>
            <w:top w:w="0" w:type="dxa"/>
            <w:bottom w:w="0" w:type="dxa"/>
          </w:tblCellMar>
        </w:tblPrEx>
        <w:trPr>
          <w:cantSplit/>
          <w:trHeight w:val="560"/>
        </w:trPr>
        <w:tc>
          <w:tcPr>
            <w:tcW w:w="700" w:type="dxa"/>
            <w:tcMar>
              <w:top w:w="0" w:type="dxa"/>
              <w:bottom w:w="0" w:type="dxa"/>
            </w:tcMar>
            <w:vAlign w:val="center"/>
          </w:tcPr>
          <w:p w14:paraId="61280B5E" w14:textId="77777777" w:rsidR="00B65635" w:rsidRDefault="00000000">
            <w:pPr>
              <w:keepNext/>
              <w:keepLines/>
              <w:spacing w:after="0" w:line="240" w:lineRule="auto"/>
            </w:pPr>
            <w:r>
              <w:rPr>
                <w:sz w:val="18"/>
              </w:rPr>
              <w:t>64</w:t>
            </w:r>
          </w:p>
        </w:tc>
        <w:tc>
          <w:tcPr>
            <w:tcW w:w="3180" w:type="dxa"/>
            <w:tcMar>
              <w:top w:w="0" w:type="dxa"/>
              <w:bottom w:w="0" w:type="dxa"/>
            </w:tcMar>
            <w:vAlign w:val="center"/>
          </w:tcPr>
          <w:p w14:paraId="5848EE16" w14:textId="77777777" w:rsidR="00B65635"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00E2B323" w14:textId="77777777" w:rsidR="00B65635" w:rsidRDefault="00000000">
            <w:pPr>
              <w:keepNext/>
              <w:keepLines/>
              <w:spacing w:after="0" w:line="240" w:lineRule="auto"/>
            </w:pPr>
            <w:r>
              <w:rPr>
                <w:sz w:val="18"/>
              </w:rPr>
              <w:t>64</w:t>
            </w:r>
          </w:p>
        </w:tc>
        <w:tc>
          <w:tcPr>
            <w:tcW w:w="1860" w:type="dxa"/>
            <w:tcMar>
              <w:top w:w="0" w:type="dxa"/>
              <w:bottom w:w="0" w:type="dxa"/>
            </w:tcMar>
            <w:vAlign w:val="center"/>
          </w:tcPr>
          <w:p w14:paraId="13FF03D5" w14:textId="77777777" w:rsidR="00B65635" w:rsidRDefault="00000000">
            <w:pPr>
              <w:keepNext/>
              <w:keepLines/>
              <w:spacing w:after="0" w:line="240" w:lineRule="auto"/>
              <w:jc w:val="right"/>
            </w:pPr>
            <w:r>
              <w:rPr>
                <w:sz w:val="18"/>
              </w:rPr>
              <w:t>205.710,76</w:t>
            </w:r>
          </w:p>
        </w:tc>
        <w:tc>
          <w:tcPr>
            <w:tcW w:w="1860" w:type="dxa"/>
            <w:tcMar>
              <w:top w:w="0" w:type="dxa"/>
              <w:bottom w:w="0" w:type="dxa"/>
            </w:tcMar>
            <w:vAlign w:val="center"/>
          </w:tcPr>
          <w:p w14:paraId="3942CC1C" w14:textId="77777777" w:rsidR="00B65635" w:rsidRDefault="00000000">
            <w:pPr>
              <w:keepNext/>
              <w:keepLines/>
              <w:spacing w:after="0" w:line="240" w:lineRule="auto"/>
              <w:jc w:val="right"/>
            </w:pPr>
            <w:r>
              <w:rPr>
                <w:sz w:val="18"/>
              </w:rPr>
              <w:t>205.320,91</w:t>
            </w:r>
          </w:p>
        </w:tc>
        <w:tc>
          <w:tcPr>
            <w:tcW w:w="700" w:type="dxa"/>
            <w:tcMar>
              <w:top w:w="0" w:type="dxa"/>
              <w:bottom w:w="0" w:type="dxa"/>
            </w:tcMar>
            <w:vAlign w:val="center"/>
          </w:tcPr>
          <w:p w14:paraId="529D2952" w14:textId="77777777" w:rsidR="00B65635" w:rsidRDefault="00000000">
            <w:pPr>
              <w:keepNext/>
              <w:keepLines/>
              <w:spacing w:after="0" w:line="240" w:lineRule="auto"/>
              <w:jc w:val="right"/>
            </w:pPr>
            <w:r>
              <w:rPr>
                <w:sz w:val="18"/>
              </w:rPr>
              <w:t>99,8</w:t>
            </w:r>
          </w:p>
        </w:tc>
      </w:tr>
    </w:tbl>
    <w:p w14:paraId="2CD1DB41" w14:textId="77777777" w:rsidR="00B65635" w:rsidRDefault="00B65635">
      <w:pPr>
        <w:spacing w:after="0"/>
      </w:pPr>
    </w:p>
    <w:p w14:paraId="09D50C3B" w14:textId="77777777" w:rsidR="00B65635" w:rsidRDefault="00000000">
      <w:r>
        <w:t xml:space="preserve">Prihodi od imovine su nam ostvareni u iznosu od 205.320,91 eura, a većinom se odnose na prihode od naknade za korištenje naftne </w:t>
      </w:r>
      <w:proofErr w:type="spellStart"/>
      <w:r>
        <w:t>luke,naftovoda</w:t>
      </w:r>
      <w:proofErr w:type="spellEnd"/>
      <w:r>
        <w:t xml:space="preserve"> i eksploatacije mineralnih sirovina, te jednim dijelom na prihode od zakupa i iznajmljivanja imovine.</w:t>
      </w:r>
    </w:p>
    <w:p w14:paraId="4D42EF13" w14:textId="77777777" w:rsidR="00B65635" w:rsidRDefault="00B65635"/>
    <w:p w14:paraId="1BDA9C39" w14:textId="77777777" w:rsidR="00B6563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55872C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A7F4E6"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6AEC41"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F64525"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75383"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DBB5D6"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DBA64A" w14:textId="77777777" w:rsidR="00B65635" w:rsidRDefault="00000000">
            <w:pPr>
              <w:keepNext/>
              <w:keepLines/>
              <w:spacing w:after="0" w:line="240" w:lineRule="auto"/>
              <w:jc w:val="center"/>
            </w:pPr>
            <w:r>
              <w:rPr>
                <w:b/>
                <w:sz w:val="18"/>
              </w:rPr>
              <w:t>Indeks (%)</w:t>
            </w:r>
          </w:p>
        </w:tc>
      </w:tr>
      <w:tr w:rsidR="00B65635" w14:paraId="5FB45935" w14:textId="77777777">
        <w:tblPrEx>
          <w:tblCellMar>
            <w:top w:w="0" w:type="dxa"/>
            <w:bottom w:w="0" w:type="dxa"/>
          </w:tblCellMar>
        </w:tblPrEx>
        <w:trPr>
          <w:cantSplit/>
          <w:trHeight w:val="560"/>
        </w:trPr>
        <w:tc>
          <w:tcPr>
            <w:tcW w:w="700" w:type="dxa"/>
            <w:tcMar>
              <w:top w:w="0" w:type="dxa"/>
              <w:bottom w:w="0" w:type="dxa"/>
            </w:tcMar>
            <w:vAlign w:val="center"/>
          </w:tcPr>
          <w:p w14:paraId="3DC9500C" w14:textId="77777777" w:rsidR="00B65635" w:rsidRDefault="00000000">
            <w:pPr>
              <w:keepNext/>
              <w:keepLines/>
              <w:spacing w:after="0" w:line="240" w:lineRule="auto"/>
            </w:pPr>
            <w:r>
              <w:rPr>
                <w:sz w:val="18"/>
              </w:rPr>
              <w:t>65</w:t>
            </w:r>
          </w:p>
        </w:tc>
        <w:tc>
          <w:tcPr>
            <w:tcW w:w="3180" w:type="dxa"/>
            <w:tcMar>
              <w:top w:w="0" w:type="dxa"/>
              <w:bottom w:w="0" w:type="dxa"/>
            </w:tcMar>
            <w:vAlign w:val="center"/>
          </w:tcPr>
          <w:p w14:paraId="6F10B17A" w14:textId="77777777" w:rsidR="00B65635"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6E757C58" w14:textId="77777777" w:rsidR="00B65635" w:rsidRDefault="00000000">
            <w:pPr>
              <w:keepNext/>
              <w:keepLines/>
              <w:spacing w:after="0" w:line="240" w:lineRule="auto"/>
            </w:pPr>
            <w:r>
              <w:rPr>
                <w:sz w:val="18"/>
              </w:rPr>
              <w:t>65</w:t>
            </w:r>
          </w:p>
        </w:tc>
        <w:tc>
          <w:tcPr>
            <w:tcW w:w="1860" w:type="dxa"/>
            <w:tcMar>
              <w:top w:w="0" w:type="dxa"/>
              <w:bottom w:w="0" w:type="dxa"/>
            </w:tcMar>
            <w:vAlign w:val="center"/>
          </w:tcPr>
          <w:p w14:paraId="2C3032E2" w14:textId="77777777" w:rsidR="00B65635" w:rsidRDefault="00000000">
            <w:pPr>
              <w:keepNext/>
              <w:keepLines/>
              <w:spacing w:after="0" w:line="240" w:lineRule="auto"/>
              <w:jc w:val="right"/>
            </w:pPr>
            <w:r>
              <w:rPr>
                <w:sz w:val="18"/>
              </w:rPr>
              <w:t>78.164,97</w:t>
            </w:r>
          </w:p>
        </w:tc>
        <w:tc>
          <w:tcPr>
            <w:tcW w:w="1860" w:type="dxa"/>
            <w:tcMar>
              <w:top w:w="0" w:type="dxa"/>
              <w:bottom w:w="0" w:type="dxa"/>
            </w:tcMar>
            <w:vAlign w:val="center"/>
          </w:tcPr>
          <w:p w14:paraId="501CC5C4" w14:textId="77777777" w:rsidR="00B65635" w:rsidRDefault="00000000">
            <w:pPr>
              <w:keepNext/>
              <w:keepLines/>
              <w:spacing w:after="0" w:line="240" w:lineRule="auto"/>
              <w:jc w:val="right"/>
            </w:pPr>
            <w:r>
              <w:rPr>
                <w:sz w:val="18"/>
              </w:rPr>
              <w:t>66.783,86</w:t>
            </w:r>
          </w:p>
        </w:tc>
        <w:tc>
          <w:tcPr>
            <w:tcW w:w="700" w:type="dxa"/>
            <w:tcMar>
              <w:top w:w="0" w:type="dxa"/>
              <w:bottom w:w="0" w:type="dxa"/>
            </w:tcMar>
            <w:vAlign w:val="center"/>
          </w:tcPr>
          <w:p w14:paraId="7ADBDCD9" w14:textId="77777777" w:rsidR="00B65635" w:rsidRDefault="00000000">
            <w:pPr>
              <w:keepNext/>
              <w:keepLines/>
              <w:spacing w:after="0" w:line="240" w:lineRule="auto"/>
              <w:jc w:val="right"/>
            </w:pPr>
            <w:r>
              <w:rPr>
                <w:sz w:val="18"/>
              </w:rPr>
              <w:t>85,4</w:t>
            </w:r>
          </w:p>
        </w:tc>
      </w:tr>
    </w:tbl>
    <w:p w14:paraId="24CF2125" w14:textId="77777777" w:rsidR="00B65635" w:rsidRDefault="00B65635">
      <w:pPr>
        <w:spacing w:after="0"/>
      </w:pPr>
    </w:p>
    <w:p w14:paraId="39374895" w14:textId="77777777" w:rsidR="00B65635" w:rsidRDefault="00000000">
      <w:r>
        <w:t>Prihodi na kontu 65 nam se većim djelom odnose na prihode od Komunalne naknade i šumskog doprinosa.</w:t>
      </w:r>
    </w:p>
    <w:p w14:paraId="18E84231" w14:textId="77777777" w:rsidR="00B65635" w:rsidRDefault="00B65635"/>
    <w:p w14:paraId="213FFEE9" w14:textId="77777777" w:rsidR="00B6563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6C1D1A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22F175"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95F3E9"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BB2CC1"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0AC4C"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CEC4B0"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5C6F0C" w14:textId="77777777" w:rsidR="00B65635" w:rsidRDefault="00000000">
            <w:pPr>
              <w:keepNext/>
              <w:keepLines/>
              <w:spacing w:after="0" w:line="240" w:lineRule="auto"/>
              <w:jc w:val="center"/>
            </w:pPr>
            <w:r>
              <w:rPr>
                <w:b/>
                <w:sz w:val="18"/>
              </w:rPr>
              <w:t>Indeks (%)</w:t>
            </w:r>
          </w:p>
        </w:tc>
      </w:tr>
      <w:tr w:rsidR="00B65635" w14:paraId="59F27EF4" w14:textId="77777777">
        <w:tblPrEx>
          <w:tblCellMar>
            <w:top w:w="0" w:type="dxa"/>
            <w:bottom w:w="0" w:type="dxa"/>
          </w:tblCellMar>
        </w:tblPrEx>
        <w:trPr>
          <w:cantSplit/>
          <w:trHeight w:val="560"/>
        </w:trPr>
        <w:tc>
          <w:tcPr>
            <w:tcW w:w="700" w:type="dxa"/>
            <w:tcMar>
              <w:top w:w="0" w:type="dxa"/>
              <w:bottom w:w="0" w:type="dxa"/>
            </w:tcMar>
            <w:vAlign w:val="center"/>
          </w:tcPr>
          <w:p w14:paraId="3398B143" w14:textId="77777777" w:rsidR="00B65635" w:rsidRDefault="00000000">
            <w:pPr>
              <w:keepNext/>
              <w:keepLines/>
              <w:spacing w:after="0" w:line="240" w:lineRule="auto"/>
            </w:pPr>
            <w:r>
              <w:rPr>
                <w:sz w:val="18"/>
              </w:rPr>
              <w:t>66</w:t>
            </w:r>
          </w:p>
        </w:tc>
        <w:tc>
          <w:tcPr>
            <w:tcW w:w="3180" w:type="dxa"/>
            <w:tcMar>
              <w:top w:w="0" w:type="dxa"/>
              <w:bottom w:w="0" w:type="dxa"/>
            </w:tcMar>
            <w:vAlign w:val="center"/>
          </w:tcPr>
          <w:p w14:paraId="03D52C16" w14:textId="77777777" w:rsidR="00B65635"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24090C2E" w14:textId="77777777" w:rsidR="00B65635" w:rsidRDefault="00000000">
            <w:pPr>
              <w:keepNext/>
              <w:keepLines/>
              <w:spacing w:after="0" w:line="240" w:lineRule="auto"/>
            </w:pPr>
            <w:r>
              <w:rPr>
                <w:sz w:val="18"/>
              </w:rPr>
              <w:t>66</w:t>
            </w:r>
          </w:p>
        </w:tc>
        <w:tc>
          <w:tcPr>
            <w:tcW w:w="1860" w:type="dxa"/>
            <w:tcMar>
              <w:top w:w="0" w:type="dxa"/>
              <w:bottom w:w="0" w:type="dxa"/>
            </w:tcMar>
            <w:vAlign w:val="center"/>
          </w:tcPr>
          <w:p w14:paraId="0A24FF6E" w14:textId="77777777" w:rsidR="00B65635" w:rsidRDefault="00000000">
            <w:pPr>
              <w:keepNext/>
              <w:keepLines/>
              <w:spacing w:after="0" w:line="240" w:lineRule="auto"/>
              <w:jc w:val="right"/>
            </w:pPr>
            <w:r>
              <w:rPr>
                <w:sz w:val="18"/>
              </w:rPr>
              <w:t>3.218,30</w:t>
            </w:r>
          </w:p>
        </w:tc>
        <w:tc>
          <w:tcPr>
            <w:tcW w:w="1860" w:type="dxa"/>
            <w:tcMar>
              <w:top w:w="0" w:type="dxa"/>
              <w:bottom w:w="0" w:type="dxa"/>
            </w:tcMar>
            <w:vAlign w:val="center"/>
          </w:tcPr>
          <w:p w14:paraId="4867D3B6" w14:textId="77777777" w:rsidR="00B65635" w:rsidRDefault="00000000">
            <w:pPr>
              <w:keepNext/>
              <w:keepLines/>
              <w:spacing w:after="0" w:line="240" w:lineRule="auto"/>
              <w:jc w:val="right"/>
            </w:pPr>
            <w:r>
              <w:rPr>
                <w:sz w:val="18"/>
              </w:rPr>
              <w:t>7.198,62</w:t>
            </w:r>
          </w:p>
        </w:tc>
        <w:tc>
          <w:tcPr>
            <w:tcW w:w="700" w:type="dxa"/>
            <w:tcMar>
              <w:top w:w="0" w:type="dxa"/>
              <w:bottom w:w="0" w:type="dxa"/>
            </w:tcMar>
            <w:vAlign w:val="center"/>
          </w:tcPr>
          <w:p w14:paraId="5231C229" w14:textId="77777777" w:rsidR="00B65635" w:rsidRDefault="00000000">
            <w:pPr>
              <w:keepNext/>
              <w:keepLines/>
              <w:spacing w:after="0" w:line="240" w:lineRule="auto"/>
              <w:jc w:val="right"/>
            </w:pPr>
            <w:r>
              <w:rPr>
                <w:sz w:val="18"/>
              </w:rPr>
              <w:t>223,7</w:t>
            </w:r>
          </w:p>
        </w:tc>
      </w:tr>
    </w:tbl>
    <w:p w14:paraId="46FD2B3C" w14:textId="77777777" w:rsidR="00B65635" w:rsidRDefault="00B65635">
      <w:pPr>
        <w:spacing w:after="0"/>
      </w:pPr>
    </w:p>
    <w:p w14:paraId="79707968" w14:textId="77777777" w:rsidR="00B65635" w:rsidRDefault="00000000">
      <w:r>
        <w:t>Prihodi na kontu 66 nam se većinom odnose na prihode od 10% refundacije za vođenje naknade za uređenje voda, taj prihod nam je veći nego u razdoblju prošle godine jer smo više doznačavali Hrvatskim vodama. Ažurnija nam je i uplata mještana vezana za taj trošak u usporedbi s istim razdobljem prošle godine.</w:t>
      </w:r>
    </w:p>
    <w:p w14:paraId="6AEE7819" w14:textId="77777777" w:rsidR="00B65635" w:rsidRDefault="00B65635"/>
    <w:p w14:paraId="598257E2" w14:textId="77777777" w:rsidR="00B6563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20E4B3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725C3B"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49292F"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BDE3B0"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D4BB31"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1E21FC"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0AC2EB" w14:textId="77777777" w:rsidR="00B65635" w:rsidRDefault="00000000">
            <w:pPr>
              <w:keepNext/>
              <w:keepLines/>
              <w:spacing w:after="0" w:line="240" w:lineRule="auto"/>
              <w:jc w:val="center"/>
            </w:pPr>
            <w:r>
              <w:rPr>
                <w:b/>
                <w:sz w:val="18"/>
              </w:rPr>
              <w:t>Indeks (%)</w:t>
            </w:r>
          </w:p>
        </w:tc>
      </w:tr>
      <w:tr w:rsidR="00B65635" w14:paraId="240514A3" w14:textId="77777777">
        <w:tblPrEx>
          <w:tblCellMar>
            <w:top w:w="0" w:type="dxa"/>
            <w:bottom w:w="0" w:type="dxa"/>
          </w:tblCellMar>
        </w:tblPrEx>
        <w:trPr>
          <w:cantSplit/>
          <w:trHeight w:val="560"/>
        </w:trPr>
        <w:tc>
          <w:tcPr>
            <w:tcW w:w="700" w:type="dxa"/>
            <w:tcMar>
              <w:top w:w="0" w:type="dxa"/>
              <w:bottom w:w="0" w:type="dxa"/>
            </w:tcMar>
            <w:vAlign w:val="center"/>
          </w:tcPr>
          <w:p w14:paraId="00CDA288" w14:textId="77777777" w:rsidR="00B65635" w:rsidRDefault="00000000">
            <w:pPr>
              <w:keepNext/>
              <w:keepLines/>
              <w:spacing w:after="0" w:line="240" w:lineRule="auto"/>
            </w:pPr>
            <w:r>
              <w:rPr>
                <w:sz w:val="18"/>
              </w:rPr>
              <w:t>68</w:t>
            </w:r>
          </w:p>
        </w:tc>
        <w:tc>
          <w:tcPr>
            <w:tcW w:w="3180" w:type="dxa"/>
            <w:tcMar>
              <w:top w:w="0" w:type="dxa"/>
              <w:bottom w:w="0" w:type="dxa"/>
            </w:tcMar>
            <w:vAlign w:val="center"/>
          </w:tcPr>
          <w:p w14:paraId="6BE0F519" w14:textId="77777777" w:rsidR="00B65635"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3027BB0B" w14:textId="77777777" w:rsidR="00B65635" w:rsidRDefault="00000000">
            <w:pPr>
              <w:keepNext/>
              <w:keepLines/>
              <w:spacing w:after="0" w:line="240" w:lineRule="auto"/>
            </w:pPr>
            <w:r>
              <w:rPr>
                <w:sz w:val="18"/>
              </w:rPr>
              <w:t>68</w:t>
            </w:r>
          </w:p>
        </w:tc>
        <w:tc>
          <w:tcPr>
            <w:tcW w:w="1860" w:type="dxa"/>
            <w:tcMar>
              <w:top w:w="0" w:type="dxa"/>
              <w:bottom w:w="0" w:type="dxa"/>
            </w:tcMar>
            <w:vAlign w:val="center"/>
          </w:tcPr>
          <w:p w14:paraId="7F3F56DB" w14:textId="77777777" w:rsidR="00B65635" w:rsidRDefault="00000000">
            <w:pPr>
              <w:keepNext/>
              <w:keepLines/>
              <w:spacing w:after="0" w:line="240" w:lineRule="auto"/>
              <w:jc w:val="right"/>
            </w:pPr>
            <w:r>
              <w:rPr>
                <w:sz w:val="18"/>
              </w:rPr>
              <w:t>328.591,10</w:t>
            </w:r>
          </w:p>
        </w:tc>
        <w:tc>
          <w:tcPr>
            <w:tcW w:w="1860" w:type="dxa"/>
            <w:tcMar>
              <w:top w:w="0" w:type="dxa"/>
              <w:bottom w:w="0" w:type="dxa"/>
            </w:tcMar>
            <w:vAlign w:val="center"/>
          </w:tcPr>
          <w:p w14:paraId="3BF402CD" w14:textId="77777777" w:rsidR="00B65635" w:rsidRDefault="00000000">
            <w:pPr>
              <w:keepNext/>
              <w:keepLines/>
              <w:spacing w:after="0" w:line="240" w:lineRule="auto"/>
              <w:jc w:val="right"/>
            </w:pPr>
            <w:r>
              <w:rPr>
                <w:sz w:val="18"/>
              </w:rPr>
              <w:t>13.306,38</w:t>
            </w:r>
          </w:p>
        </w:tc>
        <w:tc>
          <w:tcPr>
            <w:tcW w:w="700" w:type="dxa"/>
            <w:tcMar>
              <w:top w:w="0" w:type="dxa"/>
              <w:bottom w:w="0" w:type="dxa"/>
            </w:tcMar>
            <w:vAlign w:val="center"/>
          </w:tcPr>
          <w:p w14:paraId="1B1C340A" w14:textId="77777777" w:rsidR="00B65635" w:rsidRDefault="00000000">
            <w:pPr>
              <w:keepNext/>
              <w:keepLines/>
              <w:spacing w:after="0" w:line="240" w:lineRule="auto"/>
              <w:jc w:val="right"/>
            </w:pPr>
            <w:r>
              <w:rPr>
                <w:sz w:val="18"/>
              </w:rPr>
              <w:t>4,0</w:t>
            </w:r>
          </w:p>
        </w:tc>
      </w:tr>
    </w:tbl>
    <w:p w14:paraId="71F5831C" w14:textId="77777777" w:rsidR="00B65635" w:rsidRDefault="00B65635">
      <w:pPr>
        <w:spacing w:after="0"/>
      </w:pPr>
    </w:p>
    <w:p w14:paraId="72B3B777" w14:textId="77777777" w:rsidR="00B65635" w:rsidRDefault="00000000">
      <w:r>
        <w:t>Razlika između prihoda na ovom kontu se najviše odnosi na kapitalne pomoći koje smo prošle godine dobivali iz županijskog proračuna, a ove godine su izostale.</w:t>
      </w:r>
    </w:p>
    <w:p w14:paraId="73923874" w14:textId="77777777" w:rsidR="00B65635" w:rsidRDefault="00B65635"/>
    <w:p w14:paraId="4B8CAD74" w14:textId="77777777" w:rsidR="00B6563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57CADE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E729F5"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418EA5"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0A267C"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733505"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C5CFB7"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BE8395" w14:textId="77777777" w:rsidR="00B65635" w:rsidRDefault="00000000">
            <w:pPr>
              <w:keepNext/>
              <w:keepLines/>
              <w:spacing w:after="0" w:line="240" w:lineRule="auto"/>
              <w:jc w:val="center"/>
            </w:pPr>
            <w:r>
              <w:rPr>
                <w:b/>
                <w:sz w:val="18"/>
              </w:rPr>
              <w:t>Indeks (%)</w:t>
            </w:r>
          </w:p>
        </w:tc>
      </w:tr>
      <w:tr w:rsidR="00B65635" w14:paraId="2FCC4BA8" w14:textId="77777777">
        <w:tblPrEx>
          <w:tblCellMar>
            <w:top w:w="0" w:type="dxa"/>
            <w:bottom w:w="0" w:type="dxa"/>
          </w:tblCellMar>
        </w:tblPrEx>
        <w:trPr>
          <w:cantSplit/>
          <w:trHeight w:val="560"/>
        </w:trPr>
        <w:tc>
          <w:tcPr>
            <w:tcW w:w="700" w:type="dxa"/>
            <w:tcMar>
              <w:top w:w="0" w:type="dxa"/>
              <w:bottom w:w="0" w:type="dxa"/>
            </w:tcMar>
            <w:vAlign w:val="center"/>
          </w:tcPr>
          <w:p w14:paraId="1CD0035B" w14:textId="77777777" w:rsidR="00B65635" w:rsidRDefault="00000000">
            <w:pPr>
              <w:keepNext/>
              <w:keepLines/>
              <w:spacing w:after="0" w:line="240" w:lineRule="auto"/>
            </w:pPr>
            <w:r>
              <w:rPr>
                <w:sz w:val="18"/>
              </w:rPr>
              <w:t>3</w:t>
            </w:r>
          </w:p>
        </w:tc>
        <w:tc>
          <w:tcPr>
            <w:tcW w:w="3180" w:type="dxa"/>
            <w:tcMar>
              <w:top w:w="0" w:type="dxa"/>
              <w:bottom w:w="0" w:type="dxa"/>
            </w:tcMar>
            <w:vAlign w:val="center"/>
          </w:tcPr>
          <w:p w14:paraId="731D75D9" w14:textId="77777777" w:rsidR="00B6563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C3F0416" w14:textId="77777777" w:rsidR="00B65635" w:rsidRDefault="00000000">
            <w:pPr>
              <w:keepNext/>
              <w:keepLines/>
              <w:spacing w:after="0" w:line="240" w:lineRule="auto"/>
            </w:pPr>
            <w:r>
              <w:rPr>
                <w:sz w:val="18"/>
              </w:rPr>
              <w:t>3</w:t>
            </w:r>
          </w:p>
        </w:tc>
        <w:tc>
          <w:tcPr>
            <w:tcW w:w="1860" w:type="dxa"/>
            <w:tcMar>
              <w:top w:w="0" w:type="dxa"/>
              <w:bottom w:w="0" w:type="dxa"/>
            </w:tcMar>
            <w:vAlign w:val="center"/>
          </w:tcPr>
          <w:p w14:paraId="288C9C61" w14:textId="77777777" w:rsidR="00B65635" w:rsidRDefault="00000000">
            <w:pPr>
              <w:keepNext/>
              <w:keepLines/>
              <w:spacing w:after="0" w:line="240" w:lineRule="auto"/>
              <w:jc w:val="right"/>
            </w:pPr>
            <w:r>
              <w:rPr>
                <w:sz w:val="18"/>
              </w:rPr>
              <w:t>1.930.568,75</w:t>
            </w:r>
          </w:p>
        </w:tc>
        <w:tc>
          <w:tcPr>
            <w:tcW w:w="1860" w:type="dxa"/>
            <w:tcMar>
              <w:top w:w="0" w:type="dxa"/>
              <w:bottom w:w="0" w:type="dxa"/>
            </w:tcMar>
            <w:vAlign w:val="center"/>
          </w:tcPr>
          <w:p w14:paraId="35580DA8" w14:textId="77777777" w:rsidR="00B65635" w:rsidRDefault="00000000">
            <w:pPr>
              <w:keepNext/>
              <w:keepLines/>
              <w:spacing w:after="0" w:line="240" w:lineRule="auto"/>
              <w:jc w:val="right"/>
            </w:pPr>
            <w:r>
              <w:rPr>
                <w:sz w:val="18"/>
              </w:rPr>
              <w:t>2.185.744,96</w:t>
            </w:r>
          </w:p>
        </w:tc>
        <w:tc>
          <w:tcPr>
            <w:tcW w:w="700" w:type="dxa"/>
            <w:tcMar>
              <w:top w:w="0" w:type="dxa"/>
              <w:bottom w:w="0" w:type="dxa"/>
            </w:tcMar>
            <w:vAlign w:val="center"/>
          </w:tcPr>
          <w:p w14:paraId="0E10A666" w14:textId="77777777" w:rsidR="00B65635" w:rsidRDefault="00000000">
            <w:pPr>
              <w:keepNext/>
              <w:keepLines/>
              <w:spacing w:after="0" w:line="240" w:lineRule="auto"/>
              <w:jc w:val="right"/>
            </w:pPr>
            <w:r>
              <w:rPr>
                <w:sz w:val="18"/>
              </w:rPr>
              <w:t>113,2</w:t>
            </w:r>
          </w:p>
        </w:tc>
      </w:tr>
    </w:tbl>
    <w:p w14:paraId="4B7F3323" w14:textId="77777777" w:rsidR="00B65635" w:rsidRDefault="00B65635">
      <w:pPr>
        <w:spacing w:after="0"/>
      </w:pPr>
    </w:p>
    <w:p w14:paraId="69D9AE03" w14:textId="77777777" w:rsidR="00B65635" w:rsidRDefault="00000000">
      <w:r>
        <w:t>Rashodi poslovanja su povećani za cca 13% u odnosu na razdoblje prošle godine. Povećanje se najvećim djelom odnosi na rashode za zaposlene zbog povećanja broja radnika koji su nam u programu "Zaželi".</w:t>
      </w:r>
    </w:p>
    <w:p w14:paraId="5EF5A34C" w14:textId="77777777" w:rsidR="00B65635" w:rsidRDefault="00B65635"/>
    <w:p w14:paraId="10867E44" w14:textId="77777777" w:rsidR="00B6563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406CB4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A6C083"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3411D9"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9D6469"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21DAED"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D87436"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EF2BB6" w14:textId="77777777" w:rsidR="00B65635" w:rsidRDefault="00000000">
            <w:pPr>
              <w:keepNext/>
              <w:keepLines/>
              <w:spacing w:after="0" w:line="240" w:lineRule="auto"/>
              <w:jc w:val="center"/>
            </w:pPr>
            <w:r>
              <w:rPr>
                <w:b/>
                <w:sz w:val="18"/>
              </w:rPr>
              <w:t>Indeks (%)</w:t>
            </w:r>
          </w:p>
        </w:tc>
      </w:tr>
      <w:tr w:rsidR="00B65635" w14:paraId="08F594F7" w14:textId="77777777">
        <w:tblPrEx>
          <w:tblCellMar>
            <w:top w:w="0" w:type="dxa"/>
            <w:bottom w:w="0" w:type="dxa"/>
          </w:tblCellMar>
        </w:tblPrEx>
        <w:trPr>
          <w:cantSplit/>
          <w:trHeight w:val="560"/>
        </w:trPr>
        <w:tc>
          <w:tcPr>
            <w:tcW w:w="700" w:type="dxa"/>
            <w:tcMar>
              <w:top w:w="0" w:type="dxa"/>
              <w:bottom w:w="0" w:type="dxa"/>
            </w:tcMar>
            <w:vAlign w:val="center"/>
          </w:tcPr>
          <w:p w14:paraId="255FA044" w14:textId="77777777" w:rsidR="00B65635" w:rsidRDefault="00000000">
            <w:pPr>
              <w:keepNext/>
              <w:keepLines/>
              <w:spacing w:after="0" w:line="240" w:lineRule="auto"/>
            </w:pPr>
            <w:r>
              <w:rPr>
                <w:sz w:val="18"/>
              </w:rPr>
              <w:t>31</w:t>
            </w:r>
          </w:p>
        </w:tc>
        <w:tc>
          <w:tcPr>
            <w:tcW w:w="3180" w:type="dxa"/>
            <w:tcMar>
              <w:top w:w="0" w:type="dxa"/>
              <w:bottom w:w="0" w:type="dxa"/>
            </w:tcMar>
            <w:vAlign w:val="center"/>
          </w:tcPr>
          <w:p w14:paraId="60941B1B" w14:textId="77777777" w:rsidR="00B6563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CE0C2D0" w14:textId="77777777" w:rsidR="00B65635" w:rsidRDefault="00000000">
            <w:pPr>
              <w:keepNext/>
              <w:keepLines/>
              <w:spacing w:after="0" w:line="240" w:lineRule="auto"/>
            </w:pPr>
            <w:r>
              <w:rPr>
                <w:sz w:val="18"/>
              </w:rPr>
              <w:t>31</w:t>
            </w:r>
          </w:p>
        </w:tc>
        <w:tc>
          <w:tcPr>
            <w:tcW w:w="1860" w:type="dxa"/>
            <w:tcMar>
              <w:top w:w="0" w:type="dxa"/>
              <w:bottom w:w="0" w:type="dxa"/>
            </w:tcMar>
            <w:vAlign w:val="center"/>
          </w:tcPr>
          <w:p w14:paraId="459E5D89" w14:textId="77777777" w:rsidR="00B65635" w:rsidRDefault="00000000">
            <w:pPr>
              <w:keepNext/>
              <w:keepLines/>
              <w:spacing w:after="0" w:line="240" w:lineRule="auto"/>
              <w:jc w:val="right"/>
            </w:pPr>
            <w:r>
              <w:rPr>
                <w:sz w:val="18"/>
              </w:rPr>
              <w:t>402.169,01</w:t>
            </w:r>
          </w:p>
        </w:tc>
        <w:tc>
          <w:tcPr>
            <w:tcW w:w="1860" w:type="dxa"/>
            <w:tcMar>
              <w:top w:w="0" w:type="dxa"/>
              <w:bottom w:w="0" w:type="dxa"/>
            </w:tcMar>
            <w:vAlign w:val="center"/>
          </w:tcPr>
          <w:p w14:paraId="67771E8B" w14:textId="77777777" w:rsidR="00B65635" w:rsidRDefault="00000000">
            <w:pPr>
              <w:keepNext/>
              <w:keepLines/>
              <w:spacing w:after="0" w:line="240" w:lineRule="auto"/>
              <w:jc w:val="right"/>
            </w:pPr>
            <w:r>
              <w:rPr>
                <w:sz w:val="18"/>
              </w:rPr>
              <w:t>579.420,13</w:t>
            </w:r>
          </w:p>
        </w:tc>
        <w:tc>
          <w:tcPr>
            <w:tcW w:w="700" w:type="dxa"/>
            <w:tcMar>
              <w:top w:w="0" w:type="dxa"/>
              <w:bottom w:w="0" w:type="dxa"/>
            </w:tcMar>
            <w:vAlign w:val="center"/>
          </w:tcPr>
          <w:p w14:paraId="5FDBA92A" w14:textId="77777777" w:rsidR="00B65635" w:rsidRDefault="00000000">
            <w:pPr>
              <w:keepNext/>
              <w:keepLines/>
              <w:spacing w:after="0" w:line="240" w:lineRule="auto"/>
              <w:jc w:val="right"/>
            </w:pPr>
            <w:r>
              <w:rPr>
                <w:sz w:val="18"/>
              </w:rPr>
              <w:t>144,1</w:t>
            </w:r>
          </w:p>
        </w:tc>
      </w:tr>
    </w:tbl>
    <w:p w14:paraId="50608000" w14:textId="77777777" w:rsidR="00B65635" w:rsidRDefault="00B65635">
      <w:pPr>
        <w:spacing w:after="0"/>
      </w:pPr>
    </w:p>
    <w:p w14:paraId="211B69A7" w14:textId="77777777" w:rsidR="00B65635" w:rsidRDefault="00000000">
      <w:r>
        <w:t xml:space="preserve">Rashodi za zaposlene su veći zbog većeg broja radnika koji su nam zaposleni preko </w:t>
      </w:r>
      <w:proofErr w:type="spellStart"/>
      <w:r>
        <w:t>programa"Zaželi</w:t>
      </w:r>
      <w:proofErr w:type="spellEnd"/>
      <w:r>
        <w:t>", te radnika u "Javnim radovima".</w:t>
      </w:r>
    </w:p>
    <w:p w14:paraId="33B0E37E" w14:textId="77777777" w:rsidR="00B65635" w:rsidRDefault="00B65635"/>
    <w:p w14:paraId="2414189D" w14:textId="77777777" w:rsidR="00B6563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320A1D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010F96"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BFAB15"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132A4E"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4ADEE9"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564BC3"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A55DBF" w14:textId="77777777" w:rsidR="00B65635" w:rsidRDefault="00000000">
            <w:pPr>
              <w:keepNext/>
              <w:keepLines/>
              <w:spacing w:after="0" w:line="240" w:lineRule="auto"/>
              <w:jc w:val="center"/>
            </w:pPr>
            <w:r>
              <w:rPr>
                <w:b/>
                <w:sz w:val="18"/>
              </w:rPr>
              <w:t>Indeks (%)</w:t>
            </w:r>
          </w:p>
        </w:tc>
      </w:tr>
      <w:tr w:rsidR="00B65635" w14:paraId="17D8784F" w14:textId="77777777">
        <w:tblPrEx>
          <w:tblCellMar>
            <w:top w:w="0" w:type="dxa"/>
            <w:bottom w:w="0" w:type="dxa"/>
          </w:tblCellMar>
        </w:tblPrEx>
        <w:trPr>
          <w:cantSplit/>
          <w:trHeight w:val="560"/>
        </w:trPr>
        <w:tc>
          <w:tcPr>
            <w:tcW w:w="700" w:type="dxa"/>
            <w:tcMar>
              <w:top w:w="0" w:type="dxa"/>
              <w:bottom w:w="0" w:type="dxa"/>
            </w:tcMar>
            <w:vAlign w:val="center"/>
          </w:tcPr>
          <w:p w14:paraId="4909BCE3" w14:textId="77777777" w:rsidR="00B65635" w:rsidRDefault="00000000">
            <w:pPr>
              <w:keepNext/>
              <w:keepLines/>
              <w:spacing w:after="0" w:line="240" w:lineRule="auto"/>
            </w:pPr>
            <w:r>
              <w:rPr>
                <w:sz w:val="18"/>
              </w:rPr>
              <w:t>32</w:t>
            </w:r>
          </w:p>
        </w:tc>
        <w:tc>
          <w:tcPr>
            <w:tcW w:w="3180" w:type="dxa"/>
            <w:tcMar>
              <w:top w:w="0" w:type="dxa"/>
              <w:bottom w:w="0" w:type="dxa"/>
            </w:tcMar>
            <w:vAlign w:val="center"/>
          </w:tcPr>
          <w:p w14:paraId="15A034A6" w14:textId="77777777" w:rsidR="00B65635"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3E107229" w14:textId="77777777" w:rsidR="00B65635" w:rsidRDefault="00000000">
            <w:pPr>
              <w:keepNext/>
              <w:keepLines/>
              <w:spacing w:after="0" w:line="240" w:lineRule="auto"/>
            </w:pPr>
            <w:r>
              <w:rPr>
                <w:sz w:val="18"/>
              </w:rPr>
              <w:t>32</w:t>
            </w:r>
          </w:p>
        </w:tc>
        <w:tc>
          <w:tcPr>
            <w:tcW w:w="1860" w:type="dxa"/>
            <w:tcMar>
              <w:top w:w="0" w:type="dxa"/>
              <w:bottom w:w="0" w:type="dxa"/>
            </w:tcMar>
            <w:vAlign w:val="center"/>
          </w:tcPr>
          <w:p w14:paraId="17F86F08" w14:textId="77777777" w:rsidR="00B65635" w:rsidRDefault="00000000">
            <w:pPr>
              <w:keepNext/>
              <w:keepLines/>
              <w:spacing w:after="0" w:line="240" w:lineRule="auto"/>
              <w:jc w:val="right"/>
            </w:pPr>
            <w:r>
              <w:rPr>
                <w:sz w:val="18"/>
              </w:rPr>
              <w:t>976.601,17</w:t>
            </w:r>
          </w:p>
        </w:tc>
        <w:tc>
          <w:tcPr>
            <w:tcW w:w="1860" w:type="dxa"/>
            <w:tcMar>
              <w:top w:w="0" w:type="dxa"/>
              <w:bottom w:w="0" w:type="dxa"/>
            </w:tcMar>
            <w:vAlign w:val="center"/>
          </w:tcPr>
          <w:p w14:paraId="30C83B1B" w14:textId="77777777" w:rsidR="00B65635" w:rsidRDefault="00000000">
            <w:pPr>
              <w:keepNext/>
              <w:keepLines/>
              <w:spacing w:after="0" w:line="240" w:lineRule="auto"/>
              <w:jc w:val="right"/>
            </w:pPr>
            <w:r>
              <w:rPr>
                <w:sz w:val="18"/>
              </w:rPr>
              <w:t>986.150,67</w:t>
            </w:r>
          </w:p>
        </w:tc>
        <w:tc>
          <w:tcPr>
            <w:tcW w:w="700" w:type="dxa"/>
            <w:tcMar>
              <w:top w:w="0" w:type="dxa"/>
              <w:bottom w:w="0" w:type="dxa"/>
            </w:tcMar>
            <w:vAlign w:val="center"/>
          </w:tcPr>
          <w:p w14:paraId="0C90534D" w14:textId="77777777" w:rsidR="00B65635" w:rsidRDefault="00000000">
            <w:pPr>
              <w:keepNext/>
              <w:keepLines/>
              <w:spacing w:after="0" w:line="240" w:lineRule="auto"/>
              <w:jc w:val="right"/>
            </w:pPr>
            <w:r>
              <w:rPr>
                <w:sz w:val="18"/>
              </w:rPr>
              <w:t>101,0</w:t>
            </w:r>
          </w:p>
        </w:tc>
      </w:tr>
    </w:tbl>
    <w:p w14:paraId="668C1F2D" w14:textId="77777777" w:rsidR="00B65635" w:rsidRDefault="00B65635">
      <w:pPr>
        <w:spacing w:after="0"/>
      </w:pPr>
    </w:p>
    <w:p w14:paraId="2894EF32" w14:textId="77777777" w:rsidR="00B65635" w:rsidRDefault="00000000">
      <w:r>
        <w:t>Rashodi na ovom kontu su nam veći najvećim djelom zbog povećanja cijena osnovnih energenata (</w:t>
      </w:r>
      <w:proofErr w:type="spellStart"/>
      <w:r>
        <w:t>plina,struje</w:t>
      </w:r>
      <w:proofErr w:type="spellEnd"/>
      <w:r>
        <w:t xml:space="preserve"> i dr.), te povećanjem cijena usluga koje su neophodne za redovno poslovanje. Inflacijom koja je utjecala na cijelo tržište došlo je i do povećanja tih troškova.</w:t>
      </w:r>
    </w:p>
    <w:p w14:paraId="74A90F94" w14:textId="77777777" w:rsidR="00B65635" w:rsidRDefault="00B65635"/>
    <w:p w14:paraId="14C7865F" w14:textId="77777777" w:rsidR="00B6563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46401E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7AA9AD"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CC3069"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69E876"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07D92D"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2352D0"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2CC9A1" w14:textId="77777777" w:rsidR="00B65635" w:rsidRDefault="00000000">
            <w:pPr>
              <w:keepNext/>
              <w:keepLines/>
              <w:spacing w:after="0" w:line="240" w:lineRule="auto"/>
              <w:jc w:val="center"/>
            </w:pPr>
            <w:r>
              <w:rPr>
                <w:b/>
                <w:sz w:val="18"/>
              </w:rPr>
              <w:t>Indeks (%)</w:t>
            </w:r>
          </w:p>
        </w:tc>
      </w:tr>
      <w:tr w:rsidR="00B65635" w14:paraId="30770E21" w14:textId="77777777">
        <w:tblPrEx>
          <w:tblCellMar>
            <w:top w:w="0" w:type="dxa"/>
            <w:bottom w:w="0" w:type="dxa"/>
          </w:tblCellMar>
        </w:tblPrEx>
        <w:trPr>
          <w:cantSplit/>
          <w:trHeight w:val="560"/>
        </w:trPr>
        <w:tc>
          <w:tcPr>
            <w:tcW w:w="700" w:type="dxa"/>
            <w:tcMar>
              <w:top w:w="0" w:type="dxa"/>
              <w:bottom w:w="0" w:type="dxa"/>
            </w:tcMar>
            <w:vAlign w:val="center"/>
          </w:tcPr>
          <w:p w14:paraId="24CD963E" w14:textId="77777777" w:rsidR="00B65635" w:rsidRDefault="00000000">
            <w:pPr>
              <w:keepNext/>
              <w:keepLines/>
              <w:spacing w:after="0" w:line="240" w:lineRule="auto"/>
            </w:pPr>
            <w:r>
              <w:rPr>
                <w:sz w:val="18"/>
              </w:rPr>
              <w:t>34</w:t>
            </w:r>
          </w:p>
        </w:tc>
        <w:tc>
          <w:tcPr>
            <w:tcW w:w="3180" w:type="dxa"/>
            <w:tcMar>
              <w:top w:w="0" w:type="dxa"/>
              <w:bottom w:w="0" w:type="dxa"/>
            </w:tcMar>
            <w:vAlign w:val="center"/>
          </w:tcPr>
          <w:p w14:paraId="7E0980DE" w14:textId="77777777" w:rsidR="00B65635"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DA1B544" w14:textId="77777777" w:rsidR="00B65635" w:rsidRDefault="00000000">
            <w:pPr>
              <w:keepNext/>
              <w:keepLines/>
              <w:spacing w:after="0" w:line="240" w:lineRule="auto"/>
            </w:pPr>
            <w:r>
              <w:rPr>
                <w:sz w:val="18"/>
              </w:rPr>
              <w:t>34</w:t>
            </w:r>
          </w:p>
        </w:tc>
        <w:tc>
          <w:tcPr>
            <w:tcW w:w="1860" w:type="dxa"/>
            <w:tcMar>
              <w:top w:w="0" w:type="dxa"/>
              <w:bottom w:w="0" w:type="dxa"/>
            </w:tcMar>
            <w:vAlign w:val="center"/>
          </w:tcPr>
          <w:p w14:paraId="4FB3CBD7" w14:textId="77777777" w:rsidR="00B65635" w:rsidRDefault="00000000">
            <w:pPr>
              <w:keepNext/>
              <w:keepLines/>
              <w:spacing w:after="0" w:line="240" w:lineRule="auto"/>
              <w:jc w:val="right"/>
            </w:pPr>
            <w:r>
              <w:rPr>
                <w:sz w:val="18"/>
              </w:rPr>
              <w:t>11.095,71</w:t>
            </w:r>
          </w:p>
        </w:tc>
        <w:tc>
          <w:tcPr>
            <w:tcW w:w="1860" w:type="dxa"/>
            <w:tcMar>
              <w:top w:w="0" w:type="dxa"/>
              <w:bottom w:w="0" w:type="dxa"/>
            </w:tcMar>
            <w:vAlign w:val="center"/>
          </w:tcPr>
          <w:p w14:paraId="3F9FE4A7" w14:textId="77777777" w:rsidR="00B65635" w:rsidRDefault="00000000">
            <w:pPr>
              <w:keepNext/>
              <w:keepLines/>
              <w:spacing w:after="0" w:line="240" w:lineRule="auto"/>
              <w:jc w:val="right"/>
            </w:pPr>
            <w:r>
              <w:rPr>
                <w:sz w:val="18"/>
              </w:rPr>
              <w:t>37.968,34</w:t>
            </w:r>
          </w:p>
        </w:tc>
        <w:tc>
          <w:tcPr>
            <w:tcW w:w="700" w:type="dxa"/>
            <w:tcMar>
              <w:top w:w="0" w:type="dxa"/>
              <w:bottom w:w="0" w:type="dxa"/>
            </w:tcMar>
            <w:vAlign w:val="center"/>
          </w:tcPr>
          <w:p w14:paraId="7413A392" w14:textId="77777777" w:rsidR="00B65635" w:rsidRDefault="00000000">
            <w:pPr>
              <w:keepNext/>
              <w:keepLines/>
              <w:spacing w:after="0" w:line="240" w:lineRule="auto"/>
              <w:jc w:val="right"/>
            </w:pPr>
            <w:r>
              <w:rPr>
                <w:sz w:val="18"/>
              </w:rPr>
              <w:t>342,2</w:t>
            </w:r>
          </w:p>
        </w:tc>
      </w:tr>
    </w:tbl>
    <w:p w14:paraId="6265C5A7" w14:textId="77777777" w:rsidR="00B65635" w:rsidRDefault="00B65635">
      <w:pPr>
        <w:spacing w:after="0"/>
      </w:pPr>
    </w:p>
    <w:p w14:paraId="755C8450" w14:textId="77777777" w:rsidR="00B65635" w:rsidRDefault="00000000">
      <w:r>
        <w:t>Financijski rashodi su veći u odnosu na razdoblje prošle godine zbog kamata koje nismo imali u prošlom razdoblju (kamate na kredit u BKS koji smo podigli ove godine).</w:t>
      </w:r>
    </w:p>
    <w:p w14:paraId="794CD96F" w14:textId="77777777" w:rsidR="00B65635" w:rsidRDefault="00B65635"/>
    <w:p w14:paraId="143E7894" w14:textId="77777777" w:rsidR="00B6563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1EEFAD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A485FB"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B4BB36"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ED5F6"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E34C49"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F24131"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BBE93E" w14:textId="77777777" w:rsidR="00B65635" w:rsidRDefault="00000000">
            <w:pPr>
              <w:keepNext/>
              <w:keepLines/>
              <w:spacing w:after="0" w:line="240" w:lineRule="auto"/>
              <w:jc w:val="center"/>
            </w:pPr>
            <w:r>
              <w:rPr>
                <w:b/>
                <w:sz w:val="18"/>
              </w:rPr>
              <w:t>Indeks (%)</w:t>
            </w:r>
          </w:p>
        </w:tc>
      </w:tr>
      <w:tr w:rsidR="00B65635" w14:paraId="6D654536" w14:textId="77777777">
        <w:tblPrEx>
          <w:tblCellMar>
            <w:top w:w="0" w:type="dxa"/>
            <w:bottom w:w="0" w:type="dxa"/>
          </w:tblCellMar>
        </w:tblPrEx>
        <w:trPr>
          <w:cantSplit/>
          <w:trHeight w:val="560"/>
        </w:trPr>
        <w:tc>
          <w:tcPr>
            <w:tcW w:w="700" w:type="dxa"/>
            <w:tcMar>
              <w:top w:w="0" w:type="dxa"/>
              <w:bottom w:w="0" w:type="dxa"/>
            </w:tcMar>
            <w:vAlign w:val="center"/>
          </w:tcPr>
          <w:p w14:paraId="6BDF7690" w14:textId="77777777" w:rsidR="00B65635" w:rsidRDefault="00000000">
            <w:pPr>
              <w:keepNext/>
              <w:keepLines/>
              <w:spacing w:after="0" w:line="240" w:lineRule="auto"/>
            </w:pPr>
            <w:r>
              <w:rPr>
                <w:sz w:val="18"/>
              </w:rPr>
              <w:t>37</w:t>
            </w:r>
          </w:p>
        </w:tc>
        <w:tc>
          <w:tcPr>
            <w:tcW w:w="3180" w:type="dxa"/>
            <w:tcMar>
              <w:top w:w="0" w:type="dxa"/>
              <w:bottom w:w="0" w:type="dxa"/>
            </w:tcMar>
            <w:vAlign w:val="center"/>
          </w:tcPr>
          <w:p w14:paraId="76D47090" w14:textId="77777777" w:rsidR="00B65635"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4EEF4710" w14:textId="77777777" w:rsidR="00B65635" w:rsidRDefault="00000000">
            <w:pPr>
              <w:keepNext/>
              <w:keepLines/>
              <w:spacing w:after="0" w:line="240" w:lineRule="auto"/>
            </w:pPr>
            <w:r>
              <w:rPr>
                <w:sz w:val="18"/>
              </w:rPr>
              <w:t>37</w:t>
            </w:r>
          </w:p>
        </w:tc>
        <w:tc>
          <w:tcPr>
            <w:tcW w:w="1860" w:type="dxa"/>
            <w:tcMar>
              <w:top w:w="0" w:type="dxa"/>
              <w:bottom w:w="0" w:type="dxa"/>
            </w:tcMar>
            <w:vAlign w:val="center"/>
          </w:tcPr>
          <w:p w14:paraId="4C86094D" w14:textId="77777777" w:rsidR="00B65635" w:rsidRDefault="00000000">
            <w:pPr>
              <w:keepNext/>
              <w:keepLines/>
              <w:spacing w:after="0" w:line="240" w:lineRule="auto"/>
              <w:jc w:val="right"/>
            </w:pPr>
            <w:r>
              <w:rPr>
                <w:sz w:val="18"/>
              </w:rPr>
              <w:t>186.493,84</w:t>
            </w:r>
          </w:p>
        </w:tc>
        <w:tc>
          <w:tcPr>
            <w:tcW w:w="1860" w:type="dxa"/>
            <w:tcMar>
              <w:top w:w="0" w:type="dxa"/>
              <w:bottom w:w="0" w:type="dxa"/>
            </w:tcMar>
            <w:vAlign w:val="center"/>
          </w:tcPr>
          <w:p w14:paraId="4D1FBCAB" w14:textId="77777777" w:rsidR="00B65635" w:rsidRDefault="00000000">
            <w:pPr>
              <w:keepNext/>
              <w:keepLines/>
              <w:spacing w:after="0" w:line="240" w:lineRule="auto"/>
              <w:jc w:val="right"/>
            </w:pPr>
            <w:r>
              <w:rPr>
                <w:sz w:val="18"/>
              </w:rPr>
              <w:t>232.136,87</w:t>
            </w:r>
          </w:p>
        </w:tc>
        <w:tc>
          <w:tcPr>
            <w:tcW w:w="700" w:type="dxa"/>
            <w:tcMar>
              <w:top w:w="0" w:type="dxa"/>
              <w:bottom w:w="0" w:type="dxa"/>
            </w:tcMar>
            <w:vAlign w:val="center"/>
          </w:tcPr>
          <w:p w14:paraId="5595C2F6" w14:textId="77777777" w:rsidR="00B65635" w:rsidRDefault="00000000">
            <w:pPr>
              <w:keepNext/>
              <w:keepLines/>
              <w:spacing w:after="0" w:line="240" w:lineRule="auto"/>
              <w:jc w:val="right"/>
            </w:pPr>
            <w:r>
              <w:rPr>
                <w:sz w:val="18"/>
              </w:rPr>
              <w:t>124,5</w:t>
            </w:r>
          </w:p>
        </w:tc>
      </w:tr>
    </w:tbl>
    <w:p w14:paraId="611D0D65" w14:textId="77777777" w:rsidR="00B65635" w:rsidRDefault="00B65635">
      <w:pPr>
        <w:spacing w:after="0"/>
      </w:pPr>
    </w:p>
    <w:p w14:paraId="3297C15F" w14:textId="77777777" w:rsidR="00B65635" w:rsidRDefault="00000000">
      <w:r>
        <w:t>Rashodi na ovom kontu su nam veći u odnosu na prošlo razdoblje jer je povećan trošak sufinanciranja boravka djece u vrtićima koje nam se knjiži na taj konto. Došlo je do povećanja cijene vrtića, pa je samim time i veći rashod na toj poziciji.</w:t>
      </w:r>
    </w:p>
    <w:p w14:paraId="02E21FA6" w14:textId="77777777" w:rsidR="00B65635" w:rsidRDefault="00B65635"/>
    <w:p w14:paraId="37E4D761" w14:textId="77777777" w:rsidR="00B65635"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251D27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27874B"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7E3E09"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1EA76D"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9D75D"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97F1AA"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1EC94B" w14:textId="77777777" w:rsidR="00B65635" w:rsidRDefault="00000000">
            <w:pPr>
              <w:keepNext/>
              <w:keepLines/>
              <w:spacing w:after="0" w:line="240" w:lineRule="auto"/>
              <w:jc w:val="center"/>
            </w:pPr>
            <w:r>
              <w:rPr>
                <w:b/>
                <w:sz w:val="18"/>
              </w:rPr>
              <w:t>Indeks (%)</w:t>
            </w:r>
          </w:p>
        </w:tc>
      </w:tr>
      <w:tr w:rsidR="00B65635" w14:paraId="71935B69" w14:textId="77777777">
        <w:tblPrEx>
          <w:tblCellMar>
            <w:top w:w="0" w:type="dxa"/>
            <w:bottom w:w="0" w:type="dxa"/>
          </w:tblCellMar>
        </w:tblPrEx>
        <w:trPr>
          <w:cantSplit/>
          <w:trHeight w:val="560"/>
        </w:trPr>
        <w:tc>
          <w:tcPr>
            <w:tcW w:w="700" w:type="dxa"/>
            <w:tcMar>
              <w:top w:w="0" w:type="dxa"/>
              <w:bottom w:w="0" w:type="dxa"/>
            </w:tcMar>
            <w:vAlign w:val="center"/>
          </w:tcPr>
          <w:p w14:paraId="6A803601" w14:textId="77777777" w:rsidR="00B65635" w:rsidRDefault="00000000">
            <w:pPr>
              <w:keepNext/>
              <w:keepLines/>
              <w:spacing w:after="0" w:line="240" w:lineRule="auto"/>
            </w:pPr>
            <w:r>
              <w:rPr>
                <w:sz w:val="18"/>
              </w:rPr>
              <w:t>38</w:t>
            </w:r>
          </w:p>
        </w:tc>
        <w:tc>
          <w:tcPr>
            <w:tcW w:w="3180" w:type="dxa"/>
            <w:tcMar>
              <w:top w:w="0" w:type="dxa"/>
              <w:bottom w:w="0" w:type="dxa"/>
            </w:tcMar>
            <w:vAlign w:val="center"/>
          </w:tcPr>
          <w:p w14:paraId="53A4B787" w14:textId="77777777" w:rsidR="00B65635"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712196D9" w14:textId="77777777" w:rsidR="00B65635" w:rsidRDefault="00000000">
            <w:pPr>
              <w:keepNext/>
              <w:keepLines/>
              <w:spacing w:after="0" w:line="240" w:lineRule="auto"/>
            </w:pPr>
            <w:r>
              <w:rPr>
                <w:sz w:val="18"/>
              </w:rPr>
              <w:t>38</w:t>
            </w:r>
          </w:p>
        </w:tc>
        <w:tc>
          <w:tcPr>
            <w:tcW w:w="1860" w:type="dxa"/>
            <w:tcMar>
              <w:top w:w="0" w:type="dxa"/>
              <w:bottom w:w="0" w:type="dxa"/>
            </w:tcMar>
            <w:vAlign w:val="center"/>
          </w:tcPr>
          <w:p w14:paraId="30A4F6BF" w14:textId="77777777" w:rsidR="00B65635" w:rsidRDefault="00000000">
            <w:pPr>
              <w:keepNext/>
              <w:keepLines/>
              <w:spacing w:after="0" w:line="240" w:lineRule="auto"/>
              <w:jc w:val="right"/>
            </w:pPr>
            <w:r>
              <w:rPr>
                <w:sz w:val="18"/>
              </w:rPr>
              <w:t>345.328,07</w:t>
            </w:r>
          </w:p>
        </w:tc>
        <w:tc>
          <w:tcPr>
            <w:tcW w:w="1860" w:type="dxa"/>
            <w:tcMar>
              <w:top w:w="0" w:type="dxa"/>
              <w:bottom w:w="0" w:type="dxa"/>
            </w:tcMar>
            <w:vAlign w:val="center"/>
          </w:tcPr>
          <w:p w14:paraId="439AD73A" w14:textId="77777777" w:rsidR="00B65635" w:rsidRDefault="00000000">
            <w:pPr>
              <w:keepNext/>
              <w:keepLines/>
              <w:spacing w:after="0" w:line="240" w:lineRule="auto"/>
              <w:jc w:val="right"/>
            </w:pPr>
            <w:r>
              <w:rPr>
                <w:sz w:val="18"/>
              </w:rPr>
              <w:t>350.068,95</w:t>
            </w:r>
          </w:p>
        </w:tc>
        <w:tc>
          <w:tcPr>
            <w:tcW w:w="700" w:type="dxa"/>
            <w:tcMar>
              <w:top w:w="0" w:type="dxa"/>
              <w:bottom w:w="0" w:type="dxa"/>
            </w:tcMar>
            <w:vAlign w:val="center"/>
          </w:tcPr>
          <w:p w14:paraId="263F9DBE" w14:textId="77777777" w:rsidR="00B65635" w:rsidRDefault="00000000">
            <w:pPr>
              <w:keepNext/>
              <w:keepLines/>
              <w:spacing w:after="0" w:line="240" w:lineRule="auto"/>
              <w:jc w:val="right"/>
            </w:pPr>
            <w:r>
              <w:rPr>
                <w:sz w:val="18"/>
              </w:rPr>
              <w:t>101,4</w:t>
            </w:r>
          </w:p>
        </w:tc>
      </w:tr>
    </w:tbl>
    <w:p w14:paraId="3D26BFBC" w14:textId="77777777" w:rsidR="00B65635" w:rsidRDefault="00B65635">
      <w:pPr>
        <w:spacing w:after="0"/>
      </w:pPr>
    </w:p>
    <w:p w14:paraId="12965B0D" w14:textId="77777777" w:rsidR="00B65635" w:rsidRDefault="00000000">
      <w:r>
        <w:t xml:space="preserve">Povećanje rashoda na ovom kontu nam se najvećim djelom odnosi na povećanje rashoda </w:t>
      </w:r>
      <w:proofErr w:type="spellStart"/>
      <w:r>
        <w:t>tj.donacija</w:t>
      </w:r>
      <w:proofErr w:type="spellEnd"/>
      <w:r>
        <w:t xml:space="preserve"> vezanih za udruge i sportska društva.</w:t>
      </w:r>
    </w:p>
    <w:p w14:paraId="2D2FCDB4" w14:textId="77777777" w:rsidR="00B65635" w:rsidRDefault="00B65635"/>
    <w:p w14:paraId="1DF32CE9" w14:textId="77777777" w:rsidR="00B6563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6AEBE9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0EBB2B"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2F0FE6"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81DBFF"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E19FC6"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BB5C79"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D77D3A" w14:textId="77777777" w:rsidR="00B65635" w:rsidRDefault="00000000">
            <w:pPr>
              <w:keepNext/>
              <w:keepLines/>
              <w:spacing w:after="0" w:line="240" w:lineRule="auto"/>
              <w:jc w:val="center"/>
            </w:pPr>
            <w:r>
              <w:rPr>
                <w:b/>
                <w:sz w:val="18"/>
              </w:rPr>
              <w:t>Indeks (%)</w:t>
            </w:r>
          </w:p>
        </w:tc>
      </w:tr>
      <w:tr w:rsidR="00B65635" w14:paraId="4B5FD3F5" w14:textId="77777777">
        <w:tblPrEx>
          <w:tblCellMar>
            <w:top w:w="0" w:type="dxa"/>
            <w:bottom w:w="0" w:type="dxa"/>
          </w:tblCellMar>
        </w:tblPrEx>
        <w:trPr>
          <w:cantSplit/>
          <w:trHeight w:val="560"/>
        </w:trPr>
        <w:tc>
          <w:tcPr>
            <w:tcW w:w="700" w:type="dxa"/>
            <w:tcMar>
              <w:top w:w="0" w:type="dxa"/>
              <w:bottom w:w="0" w:type="dxa"/>
            </w:tcMar>
            <w:vAlign w:val="center"/>
          </w:tcPr>
          <w:p w14:paraId="7774F4C6" w14:textId="77777777" w:rsidR="00B65635" w:rsidRDefault="00000000">
            <w:pPr>
              <w:keepNext/>
              <w:keepLines/>
              <w:spacing w:after="0" w:line="240" w:lineRule="auto"/>
            </w:pPr>
            <w:r>
              <w:rPr>
                <w:sz w:val="18"/>
              </w:rPr>
              <w:t>4</w:t>
            </w:r>
          </w:p>
        </w:tc>
        <w:tc>
          <w:tcPr>
            <w:tcW w:w="3180" w:type="dxa"/>
            <w:tcMar>
              <w:top w:w="0" w:type="dxa"/>
              <w:bottom w:w="0" w:type="dxa"/>
            </w:tcMar>
            <w:vAlign w:val="center"/>
          </w:tcPr>
          <w:p w14:paraId="5CDF3CA6" w14:textId="77777777" w:rsidR="00B6563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B269BB8" w14:textId="77777777" w:rsidR="00B65635" w:rsidRDefault="00000000">
            <w:pPr>
              <w:keepNext/>
              <w:keepLines/>
              <w:spacing w:after="0" w:line="240" w:lineRule="auto"/>
            </w:pPr>
            <w:r>
              <w:rPr>
                <w:sz w:val="18"/>
              </w:rPr>
              <w:t>4</w:t>
            </w:r>
          </w:p>
        </w:tc>
        <w:tc>
          <w:tcPr>
            <w:tcW w:w="1860" w:type="dxa"/>
            <w:tcMar>
              <w:top w:w="0" w:type="dxa"/>
              <w:bottom w:w="0" w:type="dxa"/>
            </w:tcMar>
            <w:vAlign w:val="center"/>
          </w:tcPr>
          <w:p w14:paraId="1330E5DF" w14:textId="77777777" w:rsidR="00B65635" w:rsidRDefault="00000000">
            <w:pPr>
              <w:keepNext/>
              <w:keepLines/>
              <w:spacing w:after="0" w:line="240" w:lineRule="auto"/>
              <w:jc w:val="right"/>
            </w:pPr>
            <w:r>
              <w:rPr>
                <w:sz w:val="18"/>
              </w:rPr>
              <w:t>1.025.906,49</w:t>
            </w:r>
          </w:p>
        </w:tc>
        <w:tc>
          <w:tcPr>
            <w:tcW w:w="1860" w:type="dxa"/>
            <w:tcMar>
              <w:top w:w="0" w:type="dxa"/>
              <w:bottom w:w="0" w:type="dxa"/>
            </w:tcMar>
            <w:vAlign w:val="center"/>
          </w:tcPr>
          <w:p w14:paraId="55EF5196" w14:textId="77777777" w:rsidR="00B65635" w:rsidRDefault="00000000">
            <w:pPr>
              <w:keepNext/>
              <w:keepLines/>
              <w:spacing w:after="0" w:line="240" w:lineRule="auto"/>
              <w:jc w:val="right"/>
            </w:pPr>
            <w:r>
              <w:rPr>
                <w:sz w:val="18"/>
              </w:rPr>
              <w:t>1.454.311,01</w:t>
            </w:r>
          </w:p>
        </w:tc>
        <w:tc>
          <w:tcPr>
            <w:tcW w:w="700" w:type="dxa"/>
            <w:tcMar>
              <w:top w:w="0" w:type="dxa"/>
              <w:bottom w:w="0" w:type="dxa"/>
            </w:tcMar>
            <w:vAlign w:val="center"/>
          </w:tcPr>
          <w:p w14:paraId="5919BC76" w14:textId="77777777" w:rsidR="00B65635" w:rsidRDefault="00000000">
            <w:pPr>
              <w:keepNext/>
              <w:keepLines/>
              <w:spacing w:after="0" w:line="240" w:lineRule="auto"/>
              <w:jc w:val="right"/>
            </w:pPr>
            <w:r>
              <w:rPr>
                <w:sz w:val="18"/>
              </w:rPr>
              <w:t>141,8</w:t>
            </w:r>
          </w:p>
        </w:tc>
      </w:tr>
    </w:tbl>
    <w:p w14:paraId="365336B8" w14:textId="77777777" w:rsidR="00B65635" w:rsidRDefault="00B65635">
      <w:pPr>
        <w:spacing w:after="0"/>
      </w:pPr>
    </w:p>
    <w:p w14:paraId="31670D15" w14:textId="77777777" w:rsidR="00B65635" w:rsidRDefault="00000000">
      <w:r>
        <w:t>Povećanje rashoda za nabavu nefinancijske imovine se većinom odnosi na povećanje ulaganja u gradnju i projekte u pripremi. Najveći projekt nam je bio "</w:t>
      </w:r>
      <w:proofErr w:type="spellStart"/>
      <w:r>
        <w:t>Tržnica","Aglomeracija</w:t>
      </w:r>
      <w:proofErr w:type="spellEnd"/>
      <w:r>
        <w:t>" te nadogradnja vrtića.</w:t>
      </w:r>
    </w:p>
    <w:p w14:paraId="596DA91B" w14:textId="77777777" w:rsidR="00B65635" w:rsidRDefault="00B65635"/>
    <w:p w14:paraId="5EFD5FC7" w14:textId="77777777" w:rsidR="00B6563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670503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502F82"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3B5C60"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53BA07"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44848"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25AC4C"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4FDE03" w14:textId="77777777" w:rsidR="00B65635" w:rsidRDefault="00000000">
            <w:pPr>
              <w:keepNext/>
              <w:keepLines/>
              <w:spacing w:after="0" w:line="240" w:lineRule="auto"/>
              <w:jc w:val="center"/>
            </w:pPr>
            <w:r>
              <w:rPr>
                <w:b/>
                <w:sz w:val="18"/>
              </w:rPr>
              <w:t>Indeks (%)</w:t>
            </w:r>
          </w:p>
        </w:tc>
      </w:tr>
      <w:tr w:rsidR="00B65635" w14:paraId="590E91E7" w14:textId="77777777">
        <w:tblPrEx>
          <w:tblCellMar>
            <w:top w:w="0" w:type="dxa"/>
            <w:bottom w:w="0" w:type="dxa"/>
          </w:tblCellMar>
        </w:tblPrEx>
        <w:trPr>
          <w:cantSplit/>
          <w:trHeight w:val="560"/>
        </w:trPr>
        <w:tc>
          <w:tcPr>
            <w:tcW w:w="700" w:type="dxa"/>
            <w:tcMar>
              <w:top w:w="0" w:type="dxa"/>
              <w:bottom w:w="0" w:type="dxa"/>
            </w:tcMar>
            <w:vAlign w:val="center"/>
          </w:tcPr>
          <w:p w14:paraId="4660C9AE" w14:textId="77777777" w:rsidR="00B65635" w:rsidRDefault="00000000">
            <w:pPr>
              <w:keepNext/>
              <w:keepLines/>
              <w:spacing w:after="0" w:line="240" w:lineRule="auto"/>
            </w:pPr>
            <w:r>
              <w:rPr>
                <w:sz w:val="18"/>
              </w:rPr>
              <w:t>8</w:t>
            </w:r>
          </w:p>
        </w:tc>
        <w:tc>
          <w:tcPr>
            <w:tcW w:w="3180" w:type="dxa"/>
            <w:tcMar>
              <w:top w:w="0" w:type="dxa"/>
              <w:bottom w:w="0" w:type="dxa"/>
            </w:tcMar>
            <w:vAlign w:val="center"/>
          </w:tcPr>
          <w:p w14:paraId="0A25FFB1" w14:textId="77777777" w:rsidR="00B6563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ECED6DB" w14:textId="77777777" w:rsidR="00B65635" w:rsidRDefault="00000000">
            <w:pPr>
              <w:keepNext/>
              <w:keepLines/>
              <w:spacing w:after="0" w:line="240" w:lineRule="auto"/>
            </w:pPr>
            <w:r>
              <w:rPr>
                <w:sz w:val="18"/>
              </w:rPr>
              <w:t>8</w:t>
            </w:r>
          </w:p>
        </w:tc>
        <w:tc>
          <w:tcPr>
            <w:tcW w:w="1860" w:type="dxa"/>
            <w:tcMar>
              <w:top w:w="0" w:type="dxa"/>
              <w:bottom w:w="0" w:type="dxa"/>
            </w:tcMar>
            <w:vAlign w:val="center"/>
          </w:tcPr>
          <w:p w14:paraId="10157A2F" w14:textId="77777777" w:rsidR="00B65635" w:rsidRDefault="00000000">
            <w:pPr>
              <w:keepNext/>
              <w:keepLines/>
              <w:spacing w:after="0" w:line="240" w:lineRule="auto"/>
              <w:jc w:val="right"/>
            </w:pPr>
            <w:r>
              <w:rPr>
                <w:sz w:val="18"/>
              </w:rPr>
              <w:t>165.000,00</w:t>
            </w:r>
          </w:p>
        </w:tc>
        <w:tc>
          <w:tcPr>
            <w:tcW w:w="1860" w:type="dxa"/>
            <w:tcMar>
              <w:top w:w="0" w:type="dxa"/>
              <w:bottom w:w="0" w:type="dxa"/>
            </w:tcMar>
            <w:vAlign w:val="center"/>
          </w:tcPr>
          <w:p w14:paraId="22FD22D6" w14:textId="77777777" w:rsidR="00B65635" w:rsidRDefault="00000000">
            <w:pPr>
              <w:keepNext/>
              <w:keepLines/>
              <w:spacing w:after="0" w:line="240" w:lineRule="auto"/>
              <w:jc w:val="right"/>
            </w:pPr>
            <w:r>
              <w:rPr>
                <w:sz w:val="18"/>
              </w:rPr>
              <w:t>1.016.130,50</w:t>
            </w:r>
          </w:p>
        </w:tc>
        <w:tc>
          <w:tcPr>
            <w:tcW w:w="700" w:type="dxa"/>
            <w:tcMar>
              <w:top w:w="0" w:type="dxa"/>
              <w:bottom w:w="0" w:type="dxa"/>
            </w:tcMar>
            <w:vAlign w:val="center"/>
          </w:tcPr>
          <w:p w14:paraId="642E2356" w14:textId="77777777" w:rsidR="00B65635" w:rsidRDefault="00000000">
            <w:pPr>
              <w:keepNext/>
              <w:keepLines/>
              <w:spacing w:after="0" w:line="240" w:lineRule="auto"/>
              <w:jc w:val="right"/>
            </w:pPr>
            <w:r>
              <w:rPr>
                <w:sz w:val="18"/>
              </w:rPr>
              <w:t>615,8</w:t>
            </w:r>
          </w:p>
        </w:tc>
      </w:tr>
    </w:tbl>
    <w:p w14:paraId="1F0027D5" w14:textId="77777777" w:rsidR="00B65635" w:rsidRDefault="00B65635">
      <w:pPr>
        <w:spacing w:after="0"/>
      </w:pPr>
    </w:p>
    <w:p w14:paraId="6404D2D8" w14:textId="77777777" w:rsidR="00B65635" w:rsidRDefault="00000000">
      <w:r>
        <w:lastRenderedPageBreak/>
        <w:t xml:space="preserve">Povećanje primitaka od financijske imovine se odnosi na novi kredit od BKS banke u </w:t>
      </w:r>
      <w:proofErr w:type="spellStart"/>
      <w:r>
        <w:t>inosu</w:t>
      </w:r>
      <w:proofErr w:type="spellEnd"/>
      <w:r>
        <w:t xml:space="preserve"> od 349.500,00 eura (koji je i vraćen-kratkoročni), kredit HBOR-a u iznosu od 586.630,50 eura te minus na računu u iznosu od 80.000,00 eura.</w:t>
      </w:r>
    </w:p>
    <w:p w14:paraId="281998B7" w14:textId="77777777" w:rsidR="00B65635" w:rsidRDefault="00B65635"/>
    <w:p w14:paraId="79045BB3" w14:textId="77777777" w:rsidR="00B6563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3D70C2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3EDD36"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B92BC6"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D10586"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CDC12B"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787726"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7FAF32" w14:textId="77777777" w:rsidR="00B65635" w:rsidRDefault="00000000">
            <w:pPr>
              <w:keepNext/>
              <w:keepLines/>
              <w:spacing w:after="0" w:line="240" w:lineRule="auto"/>
              <w:jc w:val="center"/>
            </w:pPr>
            <w:r>
              <w:rPr>
                <w:b/>
                <w:sz w:val="18"/>
              </w:rPr>
              <w:t>Indeks (%)</w:t>
            </w:r>
          </w:p>
        </w:tc>
      </w:tr>
      <w:tr w:rsidR="00B65635" w14:paraId="7077A3CF" w14:textId="77777777">
        <w:tblPrEx>
          <w:tblCellMar>
            <w:top w:w="0" w:type="dxa"/>
            <w:bottom w:w="0" w:type="dxa"/>
          </w:tblCellMar>
        </w:tblPrEx>
        <w:trPr>
          <w:cantSplit/>
          <w:trHeight w:val="560"/>
        </w:trPr>
        <w:tc>
          <w:tcPr>
            <w:tcW w:w="700" w:type="dxa"/>
            <w:tcMar>
              <w:top w:w="0" w:type="dxa"/>
              <w:bottom w:w="0" w:type="dxa"/>
            </w:tcMar>
            <w:vAlign w:val="center"/>
          </w:tcPr>
          <w:p w14:paraId="29D2DDA6" w14:textId="77777777" w:rsidR="00B65635" w:rsidRDefault="00000000">
            <w:pPr>
              <w:keepNext/>
              <w:keepLines/>
              <w:spacing w:after="0" w:line="240" w:lineRule="auto"/>
            </w:pPr>
            <w:r>
              <w:rPr>
                <w:sz w:val="18"/>
              </w:rPr>
              <w:t>9222-9221</w:t>
            </w:r>
          </w:p>
        </w:tc>
        <w:tc>
          <w:tcPr>
            <w:tcW w:w="3180" w:type="dxa"/>
            <w:tcMar>
              <w:top w:w="0" w:type="dxa"/>
              <w:bottom w:w="0" w:type="dxa"/>
            </w:tcMar>
            <w:vAlign w:val="center"/>
          </w:tcPr>
          <w:p w14:paraId="198E00D3" w14:textId="77777777" w:rsidR="00B65635"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77C2581F" w14:textId="77777777" w:rsidR="00B65635" w:rsidRDefault="00000000">
            <w:pPr>
              <w:keepNext/>
              <w:keepLines/>
              <w:spacing w:after="0" w:line="240" w:lineRule="auto"/>
            </w:pPr>
            <w:r>
              <w:rPr>
                <w:sz w:val="18"/>
              </w:rPr>
              <w:t>9222-9221</w:t>
            </w:r>
          </w:p>
        </w:tc>
        <w:tc>
          <w:tcPr>
            <w:tcW w:w="1860" w:type="dxa"/>
            <w:tcMar>
              <w:top w:w="0" w:type="dxa"/>
              <w:bottom w:w="0" w:type="dxa"/>
            </w:tcMar>
            <w:vAlign w:val="center"/>
          </w:tcPr>
          <w:p w14:paraId="75BB8350" w14:textId="77777777" w:rsidR="00B65635" w:rsidRDefault="00000000">
            <w:pPr>
              <w:keepNext/>
              <w:keepLines/>
              <w:spacing w:after="0" w:line="240" w:lineRule="auto"/>
              <w:jc w:val="right"/>
            </w:pPr>
            <w:r>
              <w:rPr>
                <w:sz w:val="18"/>
              </w:rPr>
              <w:t>626.128,19</w:t>
            </w:r>
          </w:p>
        </w:tc>
        <w:tc>
          <w:tcPr>
            <w:tcW w:w="1860" w:type="dxa"/>
            <w:tcMar>
              <w:top w:w="0" w:type="dxa"/>
              <w:bottom w:w="0" w:type="dxa"/>
            </w:tcMar>
            <w:vAlign w:val="center"/>
          </w:tcPr>
          <w:p w14:paraId="35A97D30" w14:textId="77777777" w:rsidR="00B65635" w:rsidRDefault="00000000">
            <w:pPr>
              <w:keepNext/>
              <w:keepLines/>
              <w:spacing w:after="0" w:line="240" w:lineRule="auto"/>
              <w:jc w:val="right"/>
            </w:pPr>
            <w:r>
              <w:rPr>
                <w:sz w:val="18"/>
              </w:rPr>
              <w:t>732.835,84</w:t>
            </w:r>
          </w:p>
        </w:tc>
        <w:tc>
          <w:tcPr>
            <w:tcW w:w="700" w:type="dxa"/>
            <w:tcMar>
              <w:top w:w="0" w:type="dxa"/>
              <w:bottom w:w="0" w:type="dxa"/>
            </w:tcMar>
            <w:vAlign w:val="center"/>
          </w:tcPr>
          <w:p w14:paraId="42346E48" w14:textId="77777777" w:rsidR="00B65635" w:rsidRDefault="00000000">
            <w:pPr>
              <w:keepNext/>
              <w:keepLines/>
              <w:spacing w:after="0" w:line="240" w:lineRule="auto"/>
              <w:jc w:val="right"/>
            </w:pPr>
            <w:r>
              <w:rPr>
                <w:sz w:val="18"/>
              </w:rPr>
              <w:t>117,0</w:t>
            </w:r>
          </w:p>
        </w:tc>
      </w:tr>
    </w:tbl>
    <w:p w14:paraId="38D42C5E" w14:textId="77777777" w:rsidR="00B65635" w:rsidRDefault="00B65635">
      <w:pPr>
        <w:spacing w:after="0"/>
      </w:pPr>
    </w:p>
    <w:p w14:paraId="3EB6E8D7" w14:textId="77777777" w:rsidR="00B65635" w:rsidRDefault="00000000">
      <w:r>
        <w:t>Manjak prihoda i primitaka preneseni iznosi 732.835,84 eura.</w:t>
      </w:r>
    </w:p>
    <w:p w14:paraId="0A0F6004" w14:textId="77777777" w:rsidR="00B65635" w:rsidRDefault="00B65635"/>
    <w:p w14:paraId="0AE3401D" w14:textId="77777777" w:rsidR="00B6563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65635" w14:paraId="7E22FA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1F5706"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5A6DC1"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314029"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71D76" w14:textId="77777777" w:rsidR="00B656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B23D64" w14:textId="77777777" w:rsidR="00B656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E9F32D" w14:textId="77777777" w:rsidR="00B65635" w:rsidRDefault="00000000">
            <w:pPr>
              <w:keepNext/>
              <w:keepLines/>
              <w:spacing w:after="0" w:line="240" w:lineRule="auto"/>
              <w:jc w:val="center"/>
            </w:pPr>
            <w:r>
              <w:rPr>
                <w:b/>
                <w:sz w:val="18"/>
              </w:rPr>
              <w:t>Indeks (%)</w:t>
            </w:r>
          </w:p>
        </w:tc>
      </w:tr>
      <w:tr w:rsidR="00B65635" w14:paraId="4DCA29B8" w14:textId="77777777">
        <w:tblPrEx>
          <w:tblCellMar>
            <w:top w:w="0" w:type="dxa"/>
            <w:bottom w:w="0" w:type="dxa"/>
          </w:tblCellMar>
        </w:tblPrEx>
        <w:trPr>
          <w:cantSplit/>
          <w:trHeight w:val="560"/>
        </w:trPr>
        <w:tc>
          <w:tcPr>
            <w:tcW w:w="700" w:type="dxa"/>
            <w:tcMar>
              <w:top w:w="0" w:type="dxa"/>
              <w:bottom w:w="0" w:type="dxa"/>
            </w:tcMar>
            <w:vAlign w:val="center"/>
          </w:tcPr>
          <w:p w14:paraId="1F037622" w14:textId="77777777" w:rsidR="00B65635" w:rsidRDefault="00B65635">
            <w:pPr>
              <w:keepNext/>
              <w:keepLines/>
              <w:spacing w:after="0" w:line="240" w:lineRule="auto"/>
            </w:pPr>
          </w:p>
        </w:tc>
        <w:tc>
          <w:tcPr>
            <w:tcW w:w="3180" w:type="dxa"/>
            <w:tcMar>
              <w:top w:w="0" w:type="dxa"/>
              <w:bottom w:w="0" w:type="dxa"/>
            </w:tcMar>
            <w:vAlign w:val="center"/>
          </w:tcPr>
          <w:p w14:paraId="62D7AF12" w14:textId="77777777" w:rsidR="00B65635"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76432A3" w14:textId="77777777" w:rsidR="00B65635" w:rsidRDefault="00000000">
            <w:pPr>
              <w:keepNext/>
              <w:keepLines/>
              <w:spacing w:after="0" w:line="240" w:lineRule="auto"/>
            </w:pPr>
            <w:r>
              <w:rPr>
                <w:sz w:val="18"/>
              </w:rPr>
              <w:t>Y006</w:t>
            </w:r>
          </w:p>
        </w:tc>
        <w:tc>
          <w:tcPr>
            <w:tcW w:w="1860" w:type="dxa"/>
            <w:tcMar>
              <w:top w:w="0" w:type="dxa"/>
              <w:bottom w:w="0" w:type="dxa"/>
            </w:tcMar>
            <w:vAlign w:val="center"/>
          </w:tcPr>
          <w:p w14:paraId="29F75CAD" w14:textId="77777777" w:rsidR="00B65635" w:rsidRDefault="00000000">
            <w:pPr>
              <w:keepNext/>
              <w:keepLines/>
              <w:spacing w:after="0" w:line="240" w:lineRule="auto"/>
              <w:jc w:val="right"/>
            </w:pPr>
            <w:r>
              <w:rPr>
                <w:sz w:val="18"/>
              </w:rPr>
              <w:t>722.133,90</w:t>
            </w:r>
          </w:p>
        </w:tc>
        <w:tc>
          <w:tcPr>
            <w:tcW w:w="1860" w:type="dxa"/>
            <w:tcMar>
              <w:top w:w="0" w:type="dxa"/>
              <w:bottom w:w="0" w:type="dxa"/>
            </w:tcMar>
            <w:vAlign w:val="center"/>
          </w:tcPr>
          <w:p w14:paraId="11AB1AF0" w14:textId="77777777" w:rsidR="00B65635" w:rsidRDefault="00000000">
            <w:pPr>
              <w:keepNext/>
              <w:keepLines/>
              <w:spacing w:after="0" w:line="240" w:lineRule="auto"/>
              <w:jc w:val="right"/>
            </w:pPr>
            <w:r>
              <w:rPr>
                <w:sz w:val="18"/>
              </w:rPr>
              <w:t>1.445.506,51</w:t>
            </w:r>
          </w:p>
        </w:tc>
        <w:tc>
          <w:tcPr>
            <w:tcW w:w="700" w:type="dxa"/>
            <w:tcMar>
              <w:top w:w="0" w:type="dxa"/>
              <w:bottom w:w="0" w:type="dxa"/>
            </w:tcMar>
            <w:vAlign w:val="center"/>
          </w:tcPr>
          <w:p w14:paraId="6C35249A" w14:textId="77777777" w:rsidR="00B65635" w:rsidRDefault="00000000">
            <w:pPr>
              <w:keepNext/>
              <w:keepLines/>
              <w:spacing w:after="0" w:line="240" w:lineRule="auto"/>
              <w:jc w:val="right"/>
            </w:pPr>
            <w:r>
              <w:rPr>
                <w:sz w:val="18"/>
              </w:rPr>
              <w:t>200,2</w:t>
            </w:r>
          </w:p>
        </w:tc>
      </w:tr>
    </w:tbl>
    <w:p w14:paraId="5FAF68C2" w14:textId="77777777" w:rsidR="00B65635" w:rsidRDefault="00B65635">
      <w:pPr>
        <w:spacing w:after="0"/>
      </w:pPr>
    </w:p>
    <w:p w14:paraId="6752D069" w14:textId="77777777" w:rsidR="00B65635" w:rsidRDefault="00000000">
      <w:r>
        <w:t>Preneseni manjak prihoda iznosi 732.835,84 eura, manjak prihoda i primitaka u ovom razdoblju iznosi 712.670,67 eura što je sve zajedno 1.445.506,51 eura manjka prihoda kojeg moramo pokriti u narednom periodu. Navedeni iznos ćemo nastojati podmiriti iz pomoći od državnog proračuna, te jednim dijelom kredita koji nam nije isplaćen do kraja.</w:t>
      </w:r>
    </w:p>
    <w:p w14:paraId="6F124899" w14:textId="77777777" w:rsidR="00B65635" w:rsidRDefault="00B65635"/>
    <w:p w14:paraId="2B780A79" w14:textId="77777777" w:rsidR="00B65635" w:rsidRDefault="00000000">
      <w:pPr>
        <w:keepNext/>
        <w:spacing w:line="240" w:lineRule="auto"/>
        <w:jc w:val="center"/>
      </w:pPr>
      <w:r>
        <w:rPr>
          <w:b/>
          <w:sz w:val="28"/>
        </w:rPr>
        <w:t>Izvještaj o obvezama</w:t>
      </w:r>
    </w:p>
    <w:p w14:paraId="37368538" w14:textId="77777777" w:rsidR="00B65635"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65635" w14:paraId="48C6DE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A19733" w14:textId="77777777" w:rsidR="00B6563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3261E8" w14:textId="77777777" w:rsidR="00B656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E2EE13" w14:textId="77777777" w:rsidR="00B656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D44536" w14:textId="77777777" w:rsidR="00B6563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7021A0" w14:textId="77777777" w:rsidR="00B65635" w:rsidRDefault="00000000">
            <w:pPr>
              <w:keepNext/>
              <w:keepLines/>
              <w:spacing w:after="0" w:line="240" w:lineRule="auto"/>
              <w:jc w:val="center"/>
            </w:pPr>
            <w:r>
              <w:rPr>
                <w:b/>
                <w:sz w:val="18"/>
              </w:rPr>
              <w:t>Indeks (%)</w:t>
            </w:r>
          </w:p>
        </w:tc>
      </w:tr>
      <w:tr w:rsidR="00B65635" w14:paraId="3FF03C52" w14:textId="77777777">
        <w:tblPrEx>
          <w:tblCellMar>
            <w:top w:w="0" w:type="dxa"/>
            <w:bottom w:w="0" w:type="dxa"/>
          </w:tblCellMar>
        </w:tblPrEx>
        <w:trPr>
          <w:cantSplit/>
          <w:trHeight w:val="560"/>
        </w:trPr>
        <w:tc>
          <w:tcPr>
            <w:tcW w:w="700" w:type="dxa"/>
            <w:tcMar>
              <w:top w:w="0" w:type="dxa"/>
              <w:bottom w:w="0" w:type="dxa"/>
            </w:tcMar>
            <w:vAlign w:val="center"/>
          </w:tcPr>
          <w:p w14:paraId="1050CE20" w14:textId="77777777" w:rsidR="00B65635" w:rsidRDefault="00B65635">
            <w:pPr>
              <w:keepNext/>
              <w:keepLines/>
              <w:spacing w:after="0" w:line="240" w:lineRule="auto"/>
            </w:pPr>
          </w:p>
        </w:tc>
        <w:tc>
          <w:tcPr>
            <w:tcW w:w="3180" w:type="dxa"/>
            <w:tcMar>
              <w:top w:w="0" w:type="dxa"/>
              <w:bottom w:w="0" w:type="dxa"/>
            </w:tcMar>
            <w:vAlign w:val="center"/>
          </w:tcPr>
          <w:p w14:paraId="07006E21" w14:textId="77777777" w:rsidR="00B6563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68DACEC" w14:textId="77777777" w:rsidR="00B65635" w:rsidRDefault="00000000">
            <w:pPr>
              <w:keepNext/>
              <w:keepLines/>
              <w:spacing w:after="0" w:line="240" w:lineRule="auto"/>
            </w:pPr>
            <w:r>
              <w:rPr>
                <w:sz w:val="18"/>
              </w:rPr>
              <w:t>V007</w:t>
            </w:r>
          </w:p>
        </w:tc>
        <w:tc>
          <w:tcPr>
            <w:tcW w:w="1860" w:type="dxa"/>
            <w:tcMar>
              <w:top w:w="0" w:type="dxa"/>
              <w:bottom w:w="0" w:type="dxa"/>
            </w:tcMar>
            <w:vAlign w:val="center"/>
          </w:tcPr>
          <w:p w14:paraId="742FB7C4" w14:textId="77777777" w:rsidR="00B65635" w:rsidRDefault="00000000">
            <w:pPr>
              <w:keepNext/>
              <w:keepLines/>
              <w:spacing w:after="0" w:line="240" w:lineRule="auto"/>
              <w:jc w:val="right"/>
            </w:pPr>
            <w:r>
              <w:rPr>
                <w:sz w:val="18"/>
              </w:rPr>
              <w:t>1.547.790,21</w:t>
            </w:r>
          </w:p>
        </w:tc>
        <w:tc>
          <w:tcPr>
            <w:tcW w:w="700" w:type="dxa"/>
            <w:tcMar>
              <w:top w:w="0" w:type="dxa"/>
              <w:bottom w:w="0" w:type="dxa"/>
            </w:tcMar>
            <w:vAlign w:val="center"/>
          </w:tcPr>
          <w:p w14:paraId="65A9D8D4" w14:textId="77777777" w:rsidR="00B65635" w:rsidRDefault="00000000">
            <w:pPr>
              <w:keepNext/>
              <w:keepLines/>
              <w:spacing w:after="0" w:line="240" w:lineRule="auto"/>
              <w:jc w:val="right"/>
            </w:pPr>
            <w:r>
              <w:rPr>
                <w:sz w:val="18"/>
              </w:rPr>
              <w:t>-</w:t>
            </w:r>
          </w:p>
        </w:tc>
      </w:tr>
    </w:tbl>
    <w:p w14:paraId="7E46E090" w14:textId="77777777" w:rsidR="00B65635" w:rsidRDefault="00B65635">
      <w:pPr>
        <w:spacing w:after="0"/>
      </w:pPr>
    </w:p>
    <w:p w14:paraId="0021FF29" w14:textId="77777777" w:rsidR="00B65635" w:rsidRDefault="00000000">
      <w:r>
        <w:t xml:space="preserve">Stanje dospjelih obveza na kraju ovog izvještajnog razdoblja iznosi 1.547.790,21 eura, te se većinom odnose na troškove vezane uz gradnju </w:t>
      </w:r>
      <w:proofErr w:type="spellStart"/>
      <w:r>
        <w:t>tj.postojeće</w:t>
      </w:r>
      <w:proofErr w:type="spellEnd"/>
      <w:r>
        <w:t xml:space="preserve"> projekte. U narednom razdoblju očekujemo podmirenje jednog dijela obveza iz pomoći državnog proračuna ili kredita, samim time će se smanjiti i dugovanje prema partnerima će biti plaćeno.</w:t>
      </w:r>
    </w:p>
    <w:p w14:paraId="33466B56" w14:textId="77777777" w:rsidR="00B65635" w:rsidRDefault="00B65635"/>
    <w:p w14:paraId="2F9098DD" w14:textId="77777777" w:rsidR="00B65635" w:rsidRDefault="00000000">
      <w:pPr>
        <w:keepNext/>
        <w:spacing w:line="240" w:lineRule="auto"/>
        <w:jc w:val="center"/>
      </w:pPr>
      <w:r>
        <w:rPr>
          <w:sz w:val="28"/>
        </w:rPr>
        <w:t>Bilješka 20.</w:t>
      </w:r>
    </w:p>
    <w:p w14:paraId="5945173F" w14:textId="77777777" w:rsidR="00B65635" w:rsidRDefault="00000000">
      <w:pPr>
        <w:spacing w:line="240" w:lineRule="auto"/>
        <w:jc w:val="both"/>
      </w:pPr>
      <w:proofErr w:type="spellStart"/>
      <w:r>
        <w:rPr>
          <w:b/>
        </w:rPr>
        <w:t>Unutargrupne</w:t>
      </w:r>
      <w:proofErr w:type="spellEnd"/>
      <w:r>
        <w:rPr>
          <w:b/>
        </w:rPr>
        <w:t xml:space="preserve"> transakcije koje su u izvještajima eliminirane</w:t>
      </w:r>
    </w:p>
    <w:p w14:paraId="4A99B83C" w14:textId="77777777" w:rsidR="00B65635" w:rsidRDefault="00000000">
      <w:r>
        <w:lastRenderedPageBreak/>
        <w:t xml:space="preserve">Općina Kloštar Podravski nema </w:t>
      </w:r>
      <w:proofErr w:type="spellStart"/>
      <w:r>
        <w:t>proračnskog</w:t>
      </w:r>
      <w:proofErr w:type="spellEnd"/>
      <w:r>
        <w:t xml:space="preserve"> korisnika, </w:t>
      </w:r>
    </w:p>
    <w:p w14:paraId="063DA24D" w14:textId="77777777" w:rsidR="00B65635" w:rsidRDefault="00B65635"/>
    <w:p w14:paraId="058828E9" w14:textId="77777777" w:rsidR="00B65635" w:rsidRDefault="00000000">
      <w:pPr>
        <w:keepNext/>
        <w:spacing w:line="240" w:lineRule="auto"/>
        <w:jc w:val="center"/>
      </w:pPr>
      <w:r>
        <w:rPr>
          <w:sz w:val="28"/>
        </w:rPr>
        <w:t>Bilješka 21.</w:t>
      </w:r>
    </w:p>
    <w:p w14:paraId="53962A51" w14:textId="77777777" w:rsidR="00B65635" w:rsidRDefault="00000000">
      <w:pPr>
        <w:spacing w:line="240" w:lineRule="auto"/>
        <w:jc w:val="both"/>
      </w:pPr>
      <w:r>
        <w:rPr>
          <w:b/>
        </w:rPr>
        <w:t xml:space="preserve">Manjak ili višak u poslovanju grupe i pregled strukture manjka/viška po proračunskim korisnicima </w:t>
      </w:r>
    </w:p>
    <w:p w14:paraId="42E23DB1" w14:textId="77777777" w:rsidR="00B65635" w:rsidRDefault="00000000">
      <w:r>
        <w:t>Općina Kloštar Podravski nema proračunskog korisnika.</w:t>
      </w:r>
    </w:p>
    <w:p w14:paraId="7C658816" w14:textId="77777777" w:rsidR="00B65635" w:rsidRDefault="00B65635"/>
    <w:sectPr w:rsidR="00B65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35"/>
    <w:rsid w:val="00955A9F"/>
    <w:rsid w:val="009D6D8E"/>
    <w:rsid w:val="00B656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FA13"/>
  <w15:docId w15:val="{5FBE25DD-771C-44EC-8093-E1FEAB46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Klostar Podravski</cp:lastModifiedBy>
  <cp:revision>2</cp:revision>
  <cp:lastPrinted>2026-02-04T12:20:00Z</cp:lastPrinted>
  <dcterms:created xsi:type="dcterms:W3CDTF">2026-02-04T12:20:00Z</dcterms:created>
  <dcterms:modified xsi:type="dcterms:W3CDTF">2026-02-04T12:20:00Z</dcterms:modified>
</cp:coreProperties>
</file>