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567" w:leader="none"/>
        </w:tabs>
        <w:spacing w:before="0" w:after="0"/>
        <w:jc w:val="both"/>
        <w:rPr>
          <w:rFonts w:ascii="Times New Roman" w:hAnsi="Times New Roman"/>
          <w:sz w:val="24"/>
          <w:szCs w:val="24"/>
        </w:rPr>
      </w:pPr>
      <w:r>
        <w:rPr>
          <w:rFonts w:ascii="Times New Roman" w:hAnsi="Times New Roman"/>
          <w:sz w:val="24"/>
          <w:szCs w:val="24"/>
        </w:rPr>
        <w:tab/>
        <w:t>Na temelju članka 57., stavka 3. Zakona o porezu na dohodak („Narodne novine“ broj 115/16. i 106/18) i članka 32. Statuta Općine Kloštar Podravski („Službeni glasnik Koprivničko-križevačke županije“ broj 6/13. i 3/18), Općinsko vijeće Općine Kloštar Podravski na 17. sjednici održanoj 31. siječnja 2019. donijelo je</w:t>
      </w:r>
    </w:p>
    <w:p>
      <w:pPr>
        <w:pStyle w:val="Normal"/>
        <w:tabs>
          <w:tab w:val="clear" w:pos="708"/>
          <w:tab w:val="left" w:pos="567"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567" w:leader="none"/>
        </w:tabs>
        <w:spacing w:before="0" w:after="0"/>
        <w:jc w:val="center"/>
        <w:rPr>
          <w:rFonts w:ascii="Times New Roman" w:hAnsi="Times New Roman"/>
          <w:b/>
          <w:b/>
          <w:sz w:val="24"/>
          <w:szCs w:val="24"/>
        </w:rPr>
      </w:pPr>
      <w:r>
        <w:rPr>
          <w:rFonts w:ascii="Times New Roman" w:hAnsi="Times New Roman"/>
          <w:b/>
          <w:sz w:val="24"/>
          <w:szCs w:val="24"/>
        </w:rPr>
        <w:t>O D L U K U</w:t>
      </w:r>
    </w:p>
    <w:p>
      <w:pPr>
        <w:pStyle w:val="Normal"/>
        <w:tabs>
          <w:tab w:val="clear" w:pos="708"/>
          <w:tab w:val="left" w:pos="567" w:leader="none"/>
        </w:tabs>
        <w:spacing w:before="0" w:after="0"/>
        <w:jc w:val="center"/>
        <w:rPr>
          <w:rFonts w:ascii="Times New Roman" w:hAnsi="Times New Roman"/>
          <w:b/>
          <w:b/>
          <w:sz w:val="24"/>
          <w:szCs w:val="24"/>
        </w:rPr>
      </w:pPr>
      <w:r>
        <w:rPr>
          <w:rFonts w:ascii="Times New Roman" w:hAnsi="Times New Roman"/>
          <w:b/>
          <w:sz w:val="24"/>
          <w:szCs w:val="24"/>
        </w:rPr>
        <w:t xml:space="preserve">o visini paušalnog poreza </w:t>
      </w:r>
      <w:bookmarkStart w:id="0" w:name="_Hlk3458238"/>
      <w:r>
        <w:rPr>
          <w:rFonts w:ascii="Times New Roman" w:hAnsi="Times New Roman"/>
          <w:b/>
          <w:sz w:val="24"/>
          <w:szCs w:val="24"/>
        </w:rPr>
        <w:t xml:space="preserve">za djelatnosti iznajmljivanja </w:t>
        <w:tab/>
        <w:t xml:space="preserve">i smještaja u  turizmu </w:t>
      </w:r>
      <w:bookmarkEnd w:id="0"/>
      <w:r>
        <w:rPr>
          <w:rFonts w:ascii="Times New Roman" w:hAnsi="Times New Roman"/>
          <w:b/>
          <w:sz w:val="24"/>
          <w:szCs w:val="24"/>
        </w:rPr>
        <w:t>na području Općine Kloštar Podravski</w:t>
      </w:r>
    </w:p>
    <w:p>
      <w:pPr>
        <w:pStyle w:val="Normal"/>
        <w:tabs>
          <w:tab w:val="clear" w:pos="708"/>
          <w:tab w:val="left" w:pos="567" w:leader="none"/>
        </w:tabs>
        <w:spacing w:before="0" w:after="0"/>
        <w:jc w:val="center"/>
        <w:rPr>
          <w:rFonts w:ascii="Times New Roman" w:hAnsi="Times New Roman"/>
          <w:b/>
          <w:b/>
          <w:sz w:val="24"/>
          <w:szCs w:val="24"/>
        </w:rPr>
      </w:pPr>
      <w:r>
        <w:rPr>
          <w:rFonts w:ascii="Times New Roman" w:hAnsi="Times New Roman"/>
          <w:b/>
          <w:sz w:val="24"/>
          <w:szCs w:val="24"/>
        </w:rPr>
      </w:r>
    </w:p>
    <w:p>
      <w:pPr>
        <w:pStyle w:val="Normal"/>
        <w:tabs>
          <w:tab w:val="clear" w:pos="708"/>
          <w:tab w:val="left" w:pos="567" w:leader="none"/>
        </w:tabs>
        <w:spacing w:before="0" w:after="0"/>
        <w:jc w:val="center"/>
        <w:rPr>
          <w:rFonts w:ascii="Times New Roman" w:hAnsi="Times New Roman"/>
          <w:b/>
          <w:b/>
          <w:sz w:val="24"/>
          <w:szCs w:val="24"/>
        </w:rPr>
      </w:pPr>
      <w:r>
        <w:rPr>
          <w:rFonts w:ascii="Times New Roman" w:hAnsi="Times New Roman"/>
          <w:b/>
          <w:sz w:val="24"/>
          <w:szCs w:val="24"/>
        </w:rPr>
      </w:r>
    </w:p>
    <w:p>
      <w:pPr>
        <w:pStyle w:val="Normal"/>
        <w:tabs>
          <w:tab w:val="clear" w:pos="708"/>
          <w:tab w:val="left" w:pos="567" w:leader="none"/>
        </w:tabs>
        <w:spacing w:before="0" w:after="0"/>
        <w:jc w:val="center"/>
        <w:rPr>
          <w:rFonts w:ascii="Times New Roman" w:hAnsi="Times New Roman"/>
          <w:b/>
          <w:b/>
          <w:sz w:val="24"/>
          <w:szCs w:val="24"/>
        </w:rPr>
      </w:pPr>
      <w:r>
        <w:rPr>
          <w:rFonts w:ascii="Times New Roman" w:hAnsi="Times New Roman"/>
          <w:b/>
          <w:sz w:val="24"/>
          <w:szCs w:val="24"/>
        </w:rPr>
        <w:t>Članak 1.</w:t>
      </w:r>
    </w:p>
    <w:p>
      <w:pPr>
        <w:pStyle w:val="Normal"/>
        <w:tabs>
          <w:tab w:val="clear" w:pos="708"/>
          <w:tab w:val="left" w:pos="567" w:leader="none"/>
        </w:tabs>
        <w:spacing w:before="0" w:after="0"/>
        <w:jc w:val="center"/>
        <w:rPr>
          <w:rFonts w:ascii="Times New Roman" w:hAnsi="Times New Roman"/>
          <w:b/>
          <w:b/>
          <w:sz w:val="24"/>
          <w:szCs w:val="24"/>
        </w:rPr>
      </w:pPr>
      <w:r>
        <w:rPr>
          <w:rFonts w:ascii="Times New Roman" w:hAnsi="Times New Roman"/>
          <w:b/>
          <w:sz w:val="24"/>
          <w:szCs w:val="24"/>
        </w:rPr>
      </w:r>
    </w:p>
    <w:p>
      <w:pPr>
        <w:pStyle w:val="Normal"/>
        <w:tabs>
          <w:tab w:val="clear" w:pos="708"/>
          <w:tab w:val="left" w:pos="567" w:leader="none"/>
        </w:tabs>
        <w:spacing w:before="0" w:after="0"/>
        <w:jc w:val="both"/>
        <w:rPr>
          <w:rFonts w:ascii="Times New Roman" w:hAnsi="Times New Roman"/>
          <w:sz w:val="24"/>
          <w:szCs w:val="24"/>
        </w:rPr>
      </w:pPr>
      <w:r>
        <w:rPr>
          <w:rFonts w:ascii="Times New Roman" w:hAnsi="Times New Roman"/>
          <w:sz w:val="24"/>
          <w:szCs w:val="24"/>
        </w:rPr>
        <w:tab/>
        <w:t>Odlukom o visini paušalnog poreza za djelatnosti iznajmljivanja i smještaja u  turizmu na području Općine Kloštar Podravski (u daljnjem tekstu: Odluka) utvrđuje se visina paušalnog poreza po krevetu,  smještajnoj jedinici u kampu i po smještajnoj jedinici u objektu za robinzonski smještaj na području Općine Kloštar Podravski (u daljnjem tekstu: Općina).</w:t>
      </w:r>
    </w:p>
    <w:p>
      <w:pPr>
        <w:pStyle w:val="Normal"/>
        <w:tabs>
          <w:tab w:val="clear" w:pos="708"/>
          <w:tab w:val="left" w:pos="567" w:leader="none"/>
        </w:tabs>
        <w:spacing w:before="0" w:after="0"/>
        <w:jc w:val="both"/>
        <w:rPr>
          <w:rFonts w:ascii="Times New Roman" w:hAnsi="Times New Roman"/>
          <w:sz w:val="24"/>
          <w:szCs w:val="24"/>
        </w:rPr>
      </w:pPr>
      <w:r>
        <w:rPr>
          <w:rFonts w:ascii="Times New Roman" w:hAnsi="Times New Roman"/>
          <w:sz w:val="24"/>
          <w:szCs w:val="24"/>
        </w:rPr>
        <w:tab/>
      </w:r>
    </w:p>
    <w:p>
      <w:pPr>
        <w:pStyle w:val="Normal"/>
        <w:tabs>
          <w:tab w:val="clear" w:pos="708"/>
          <w:tab w:val="left" w:pos="567" w:leader="none"/>
        </w:tabs>
        <w:spacing w:before="0" w:after="0"/>
        <w:jc w:val="center"/>
        <w:rPr>
          <w:rFonts w:ascii="Times New Roman" w:hAnsi="Times New Roman"/>
          <w:b/>
          <w:b/>
          <w:sz w:val="24"/>
          <w:szCs w:val="24"/>
        </w:rPr>
      </w:pPr>
      <w:r>
        <w:rPr>
          <w:rFonts w:ascii="Times New Roman" w:hAnsi="Times New Roman"/>
          <w:b/>
          <w:sz w:val="24"/>
          <w:szCs w:val="24"/>
        </w:rPr>
        <w:t>Članak 2.</w:t>
      </w:r>
    </w:p>
    <w:p>
      <w:pPr>
        <w:pStyle w:val="Normal"/>
        <w:tabs>
          <w:tab w:val="clear" w:pos="708"/>
          <w:tab w:val="left" w:pos="567" w:leader="none"/>
        </w:tabs>
        <w:spacing w:before="0" w:after="0"/>
        <w:jc w:val="center"/>
        <w:rPr>
          <w:rFonts w:ascii="Times New Roman" w:hAnsi="Times New Roman"/>
          <w:b/>
          <w:b/>
          <w:sz w:val="24"/>
          <w:szCs w:val="24"/>
        </w:rPr>
      </w:pPr>
      <w:r>
        <w:rPr>
          <w:rFonts w:ascii="Times New Roman" w:hAnsi="Times New Roman"/>
          <w:b/>
          <w:sz w:val="24"/>
          <w:szCs w:val="24"/>
        </w:rPr>
      </w:r>
    </w:p>
    <w:p>
      <w:pPr>
        <w:pStyle w:val="Normal"/>
        <w:tabs>
          <w:tab w:val="clear" w:pos="708"/>
          <w:tab w:val="left" w:pos="567" w:leader="none"/>
        </w:tabs>
        <w:spacing w:before="0" w:after="0"/>
        <w:jc w:val="both"/>
        <w:rPr>
          <w:rFonts w:ascii="Times New Roman" w:hAnsi="Times New Roman"/>
          <w:sz w:val="24"/>
          <w:szCs w:val="24"/>
        </w:rPr>
      </w:pPr>
      <w:r>
        <w:rPr>
          <w:rFonts w:ascii="Times New Roman" w:hAnsi="Times New Roman"/>
          <w:sz w:val="24"/>
          <w:szCs w:val="24"/>
        </w:rPr>
        <w:tab/>
        <w:t>Visina paušalnog poreza iz članka 1. ove Odluke određuje se u iznosu od 150,00 kuna</w:t>
      </w:r>
      <w:bookmarkStart w:id="1" w:name="_GoBack"/>
      <w:bookmarkEnd w:id="1"/>
      <w:r>
        <w:rPr>
          <w:rFonts w:ascii="Times New Roman" w:hAnsi="Times New Roman"/>
          <w:sz w:val="24"/>
          <w:szCs w:val="24"/>
        </w:rPr>
        <w:t xml:space="preserve"> po krevetu, smještajnoj jedinici u kampu i po smještajnoj jedinici u objektu za robinzonski smještaj u svim naseljima na području Općine Kloštar Podravski.</w:t>
      </w:r>
    </w:p>
    <w:p>
      <w:pPr>
        <w:pStyle w:val="Normal"/>
        <w:tabs>
          <w:tab w:val="clear" w:pos="708"/>
          <w:tab w:val="left" w:pos="567"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567" w:leader="none"/>
        </w:tabs>
        <w:spacing w:before="0" w:after="0"/>
        <w:jc w:val="center"/>
        <w:rPr>
          <w:rFonts w:ascii="Times New Roman" w:hAnsi="Times New Roman"/>
          <w:b/>
          <w:b/>
          <w:sz w:val="24"/>
          <w:szCs w:val="24"/>
        </w:rPr>
      </w:pPr>
      <w:r>
        <w:rPr>
          <w:rFonts w:ascii="Times New Roman" w:hAnsi="Times New Roman"/>
          <w:b/>
          <w:sz w:val="24"/>
          <w:szCs w:val="24"/>
        </w:rPr>
        <w:t>Članak 3.</w:t>
      </w:r>
    </w:p>
    <w:p>
      <w:pPr>
        <w:pStyle w:val="Normal"/>
        <w:tabs>
          <w:tab w:val="clear" w:pos="708"/>
          <w:tab w:val="left" w:pos="567" w:leader="none"/>
        </w:tabs>
        <w:spacing w:before="0" w:after="0"/>
        <w:jc w:val="center"/>
        <w:rPr>
          <w:rFonts w:ascii="Times New Roman" w:hAnsi="Times New Roman"/>
          <w:b/>
          <w:b/>
          <w:sz w:val="24"/>
          <w:szCs w:val="24"/>
        </w:rPr>
      </w:pPr>
      <w:r>
        <w:rPr>
          <w:rFonts w:ascii="Times New Roman" w:hAnsi="Times New Roman"/>
          <w:b/>
          <w:sz w:val="24"/>
          <w:szCs w:val="24"/>
        </w:rPr>
      </w:r>
    </w:p>
    <w:p>
      <w:pPr>
        <w:pStyle w:val="Normal"/>
        <w:tabs>
          <w:tab w:val="clear" w:pos="708"/>
          <w:tab w:val="left" w:pos="567" w:leader="none"/>
        </w:tabs>
        <w:spacing w:before="0" w:after="0"/>
        <w:jc w:val="both"/>
        <w:rPr>
          <w:rFonts w:ascii="Times New Roman" w:hAnsi="Times New Roman"/>
          <w:sz w:val="24"/>
          <w:szCs w:val="24"/>
        </w:rPr>
      </w:pPr>
      <w:r>
        <w:rPr>
          <w:rFonts w:ascii="Times New Roman" w:hAnsi="Times New Roman"/>
          <w:sz w:val="24"/>
          <w:szCs w:val="24"/>
        </w:rPr>
        <w:tab/>
        <w:t>Ova Odluka stupa na snagu prvog dana od dana objave u „Službenom glasniku Koprivničko-križevačke županije“.</w:t>
      </w:r>
    </w:p>
    <w:p>
      <w:pPr>
        <w:pStyle w:val="Normal"/>
        <w:tabs>
          <w:tab w:val="clear" w:pos="708"/>
          <w:tab w:val="left" w:pos="567"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567"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567" w:leader="none"/>
        </w:tabs>
        <w:spacing w:before="0" w:after="0"/>
        <w:jc w:val="center"/>
        <w:rPr>
          <w:rFonts w:ascii="Times New Roman" w:hAnsi="Times New Roman"/>
          <w:b/>
          <w:b/>
          <w:sz w:val="24"/>
          <w:szCs w:val="24"/>
        </w:rPr>
      </w:pPr>
      <w:r>
        <w:rPr>
          <w:rFonts w:ascii="Times New Roman" w:hAnsi="Times New Roman"/>
          <w:b/>
          <w:sz w:val="24"/>
          <w:szCs w:val="24"/>
        </w:rPr>
        <w:t>OPĆINSKO VIJEĆE OPĆINE</w:t>
      </w:r>
    </w:p>
    <w:p>
      <w:pPr>
        <w:pStyle w:val="Normal"/>
        <w:tabs>
          <w:tab w:val="clear" w:pos="708"/>
          <w:tab w:val="left" w:pos="567" w:leader="none"/>
        </w:tabs>
        <w:spacing w:before="0" w:after="0"/>
        <w:jc w:val="center"/>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KLOŠTAR PODRAVSKI</w:t>
      </w:r>
    </w:p>
    <w:p>
      <w:pPr>
        <w:pStyle w:val="Normal"/>
        <w:tabs>
          <w:tab w:val="clear" w:pos="708"/>
          <w:tab w:val="left" w:pos="567" w:leader="none"/>
        </w:tabs>
        <w:spacing w:before="0" w:after="0"/>
        <w:jc w:val="center"/>
        <w:rPr>
          <w:rFonts w:ascii="Times New Roman" w:hAnsi="Times New Roman"/>
          <w:b/>
          <w:b/>
          <w:sz w:val="24"/>
          <w:szCs w:val="24"/>
        </w:rPr>
      </w:pPr>
      <w:r>
        <w:rPr>
          <w:rFonts w:ascii="Times New Roman" w:hAnsi="Times New Roman"/>
          <w:b/>
          <w:sz w:val="24"/>
          <w:szCs w:val="24"/>
        </w:rPr>
      </w:r>
    </w:p>
    <w:p>
      <w:pPr>
        <w:pStyle w:val="Normal"/>
        <w:tabs>
          <w:tab w:val="clear" w:pos="708"/>
          <w:tab w:val="left" w:pos="567" w:leader="none"/>
        </w:tabs>
        <w:spacing w:before="0" w:after="0"/>
        <w:jc w:val="both"/>
        <w:rPr>
          <w:rFonts w:ascii="Times New Roman" w:hAnsi="Times New Roman"/>
          <w:b/>
          <w:b/>
          <w:sz w:val="24"/>
          <w:szCs w:val="24"/>
        </w:rPr>
      </w:pPr>
      <w:r>
        <w:rPr>
          <w:rFonts w:ascii="Times New Roman" w:hAnsi="Times New Roman"/>
          <w:b/>
          <w:sz w:val="24"/>
          <w:szCs w:val="24"/>
        </w:rPr>
      </w:r>
    </w:p>
    <w:p>
      <w:pPr>
        <w:pStyle w:val="Normal"/>
        <w:tabs>
          <w:tab w:val="clear" w:pos="708"/>
          <w:tab w:val="left" w:pos="567" w:leader="none"/>
        </w:tabs>
        <w:spacing w:before="0" w:after="0"/>
        <w:jc w:val="both"/>
        <w:rPr>
          <w:rFonts w:ascii="Times New Roman" w:hAnsi="Times New Roman"/>
          <w:b/>
          <w:b/>
          <w:sz w:val="24"/>
          <w:szCs w:val="24"/>
        </w:rPr>
      </w:pPr>
      <w:r>
        <w:rPr>
          <w:rFonts w:ascii="Times New Roman" w:hAnsi="Times New Roman"/>
          <w:b/>
          <w:sz w:val="24"/>
          <w:szCs w:val="24"/>
        </w:rPr>
        <w:t>KLASA: 410-01/19-01/01</w:t>
      </w:r>
    </w:p>
    <w:p>
      <w:pPr>
        <w:pStyle w:val="Normal"/>
        <w:tabs>
          <w:tab w:val="clear" w:pos="708"/>
          <w:tab w:val="left" w:pos="567" w:leader="none"/>
        </w:tabs>
        <w:spacing w:before="0" w:after="0"/>
        <w:jc w:val="both"/>
        <w:rPr>
          <w:rFonts w:ascii="Times New Roman" w:hAnsi="Times New Roman"/>
          <w:b/>
          <w:b/>
          <w:sz w:val="24"/>
          <w:szCs w:val="24"/>
        </w:rPr>
      </w:pPr>
      <w:r>
        <w:rPr>
          <w:rFonts w:ascii="Times New Roman" w:hAnsi="Times New Roman"/>
          <w:b/>
          <w:sz w:val="24"/>
          <w:szCs w:val="24"/>
        </w:rPr>
        <w:t>URBROJ: 2137/16-19-2</w:t>
      </w:r>
    </w:p>
    <w:p>
      <w:pPr>
        <w:pStyle w:val="Normal"/>
        <w:tabs>
          <w:tab w:val="clear" w:pos="708"/>
          <w:tab w:val="left" w:pos="567" w:leader="none"/>
        </w:tabs>
        <w:spacing w:before="0" w:after="0"/>
        <w:jc w:val="both"/>
        <w:rPr>
          <w:rFonts w:ascii="Times New Roman" w:hAnsi="Times New Roman"/>
          <w:b/>
          <w:b/>
          <w:sz w:val="24"/>
          <w:szCs w:val="24"/>
        </w:rPr>
      </w:pPr>
      <w:r>
        <w:rPr>
          <w:rFonts w:ascii="Times New Roman" w:hAnsi="Times New Roman"/>
          <w:b/>
          <w:sz w:val="24"/>
          <w:szCs w:val="24"/>
        </w:rPr>
        <w:t>Kloštar Podravski,  31.01.2019.</w:t>
      </w:r>
    </w:p>
    <w:p>
      <w:pPr>
        <w:pStyle w:val="Normal"/>
        <w:tabs>
          <w:tab w:val="clear" w:pos="708"/>
          <w:tab w:val="left" w:pos="567" w:leader="none"/>
        </w:tabs>
        <w:spacing w:before="0" w:after="0"/>
        <w:jc w:val="both"/>
        <w:rPr>
          <w:rFonts w:ascii="Times New Roman" w:hAnsi="Times New Roman"/>
          <w:b/>
          <w:b/>
          <w:sz w:val="24"/>
          <w:szCs w:val="24"/>
        </w:rPr>
      </w:pPr>
      <w:r>
        <w:rPr>
          <w:rFonts w:ascii="Times New Roman" w:hAnsi="Times New Roman"/>
          <w:b/>
          <w:sz w:val="24"/>
          <w:szCs w:val="24"/>
        </w:rPr>
      </w:r>
    </w:p>
    <w:p>
      <w:pPr>
        <w:pStyle w:val="Normal"/>
        <w:tabs>
          <w:tab w:val="clear" w:pos="708"/>
          <w:tab w:val="left" w:pos="567" w:leader="none"/>
        </w:tabs>
        <w:spacing w:before="0" w:after="0"/>
        <w:jc w:val="right"/>
        <w:rPr>
          <w:rFonts w:ascii="Times New Roman" w:hAnsi="Times New Roman"/>
          <w:b/>
          <w:b/>
          <w:sz w:val="24"/>
          <w:szCs w:val="24"/>
        </w:rPr>
      </w:pPr>
      <w:r>
        <w:rPr>
          <w:rFonts w:ascii="Times New Roman" w:hAnsi="Times New Roman"/>
          <w:b/>
          <w:sz w:val="24"/>
          <w:szCs w:val="24"/>
        </w:rPr>
        <w:t>PREDSJEDNIK:</w:t>
      </w:r>
    </w:p>
    <w:p>
      <w:pPr>
        <w:pStyle w:val="Normal"/>
        <w:tabs>
          <w:tab w:val="clear" w:pos="708"/>
          <w:tab w:val="left" w:pos="567" w:leader="none"/>
        </w:tabs>
        <w:spacing w:before="0" w:after="0"/>
        <w:jc w:val="right"/>
        <w:rPr>
          <w:rFonts w:ascii="Times New Roman" w:hAnsi="Times New Roman"/>
          <w:b/>
          <w:b/>
          <w:sz w:val="24"/>
          <w:szCs w:val="24"/>
        </w:rPr>
      </w:pPr>
      <w:r>
        <w:rPr>
          <w:rFonts w:ascii="Times New Roman" w:hAnsi="Times New Roman"/>
          <w:b/>
          <w:sz w:val="24"/>
          <w:szCs w:val="24"/>
        </w:rPr>
      </w:r>
    </w:p>
    <w:p>
      <w:pPr>
        <w:pStyle w:val="Normal"/>
        <w:tabs>
          <w:tab w:val="clear" w:pos="708"/>
          <w:tab w:val="left" w:pos="567" w:leader="none"/>
        </w:tabs>
        <w:spacing w:before="0" w:after="0"/>
        <w:jc w:val="center"/>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Antun Karas</w:t>
      </w:r>
    </w:p>
    <w:p>
      <w:pPr>
        <w:pStyle w:val="Normal"/>
        <w:tabs>
          <w:tab w:val="clear" w:pos="708"/>
          <w:tab w:val="left" w:pos="567" w:leader="none"/>
        </w:tabs>
        <w:spacing w:before="0" w:after="0"/>
        <w:jc w:val="center"/>
        <w:rPr>
          <w:rFonts w:ascii="Times New Roman" w:hAnsi="Times New Roman"/>
          <w:b/>
          <w:b/>
          <w:sz w:val="24"/>
          <w:szCs w:val="24"/>
        </w:rPr>
      </w:pPr>
      <w:r>
        <w:rPr>
          <w:rFonts w:ascii="Times New Roman" w:hAnsi="Times New Roman"/>
          <w:b/>
          <w:sz w:val="24"/>
          <w:szCs w:val="24"/>
        </w:rPr>
      </w:r>
    </w:p>
    <w:p>
      <w:pPr>
        <w:pStyle w:val="Normal"/>
        <w:tabs>
          <w:tab w:val="clear" w:pos="708"/>
          <w:tab w:val="left" w:pos="567" w:leader="none"/>
        </w:tabs>
        <w:spacing w:before="0" w:after="0"/>
        <w:jc w:val="center"/>
        <w:rPr>
          <w:rFonts w:ascii="Times New Roman" w:hAnsi="Times New Roman"/>
          <w:b/>
          <w:b/>
          <w:sz w:val="24"/>
          <w:szCs w:val="24"/>
        </w:rPr>
      </w:pPr>
      <w:r>
        <w:rPr>
          <w:rFonts w:ascii="Times New Roman" w:hAnsi="Times New Roman"/>
          <w:b/>
          <w:sz w:val="24"/>
          <w:szCs w:val="24"/>
        </w:rPr>
      </w:r>
    </w:p>
    <w:p>
      <w:pPr>
        <w:pStyle w:val="Normal"/>
        <w:tabs>
          <w:tab w:val="clear" w:pos="708"/>
          <w:tab w:val="left" w:pos="567" w:leader="none"/>
        </w:tabs>
        <w:spacing w:before="0" w:after="0"/>
        <w:jc w:val="center"/>
        <w:rPr>
          <w:rFonts w:ascii="Times New Roman" w:hAnsi="Times New Roman"/>
          <w:b/>
          <w:b/>
          <w:sz w:val="24"/>
          <w:szCs w:val="24"/>
        </w:rPr>
      </w:pPr>
      <w:r>
        <w:rPr>
          <w:rFonts w:ascii="Times New Roman" w:hAnsi="Times New Roman"/>
          <w:b/>
          <w:sz w:val="24"/>
          <w:szCs w:val="24"/>
        </w:rPr>
      </w:r>
    </w:p>
    <w:p>
      <w:pPr>
        <w:pStyle w:val="Normal"/>
        <w:tabs>
          <w:tab w:val="clear" w:pos="708"/>
          <w:tab w:val="left" w:pos="567" w:leader="none"/>
        </w:tabs>
        <w:spacing w:before="0" w:after="0"/>
        <w:jc w:val="center"/>
        <w:rPr>
          <w:rFonts w:ascii="Times New Roman" w:hAnsi="Times New Roman"/>
          <w:b/>
          <w:b/>
          <w:sz w:val="24"/>
          <w:szCs w:val="24"/>
        </w:rPr>
      </w:pPr>
      <w:r>
        <w:rPr>
          <w:rFonts w:ascii="Times New Roman" w:hAnsi="Times New Roman"/>
          <w:b/>
          <w:sz w:val="24"/>
          <w:szCs w:val="24"/>
        </w:rPr>
      </w:r>
    </w:p>
    <w:p>
      <w:pPr>
        <w:pStyle w:val="Normal"/>
        <w:tabs>
          <w:tab w:val="clear" w:pos="708"/>
          <w:tab w:val="left" w:pos="567" w:leader="none"/>
        </w:tabs>
        <w:spacing w:before="0" w:after="0"/>
        <w:jc w:val="center"/>
        <w:rPr>
          <w:rFonts w:ascii="Times New Roman" w:hAnsi="Times New Roman"/>
          <w:b/>
          <w:b/>
          <w:sz w:val="24"/>
          <w:szCs w:val="24"/>
        </w:rPr>
      </w:pPr>
      <w:r>
        <w:rPr>
          <w:rFonts w:ascii="Times New Roman" w:hAnsi="Times New Roman"/>
          <w:b/>
          <w:sz w:val="24"/>
          <w:szCs w:val="24"/>
        </w:rPr>
      </w:r>
    </w:p>
    <w:p>
      <w:pPr>
        <w:pStyle w:val="Normal"/>
        <w:tabs>
          <w:tab w:val="clear" w:pos="708"/>
          <w:tab w:val="left" w:pos="567" w:leader="none"/>
        </w:tabs>
        <w:spacing w:before="0" w:after="0"/>
        <w:jc w:val="center"/>
        <w:rPr>
          <w:rFonts w:ascii="Times New Roman" w:hAnsi="Times New Roman"/>
          <w:b/>
          <w:b/>
          <w:sz w:val="24"/>
          <w:szCs w:val="24"/>
        </w:rPr>
      </w:pPr>
      <w:r>
        <w:rPr>
          <w:rFonts w:ascii="Times New Roman" w:hAnsi="Times New Roman"/>
          <w:b/>
          <w:sz w:val="24"/>
          <w:szCs w:val="24"/>
        </w:rPr>
      </w:r>
    </w:p>
    <w:p>
      <w:pPr>
        <w:pStyle w:val="Normal"/>
        <w:tabs>
          <w:tab w:val="clear" w:pos="708"/>
          <w:tab w:val="left" w:pos="567" w:leader="none"/>
        </w:tabs>
        <w:spacing w:before="0" w:after="0"/>
        <w:jc w:val="center"/>
        <w:rPr>
          <w:rFonts w:ascii="Times New Roman" w:hAnsi="Times New Roman"/>
          <w:b/>
          <w:b/>
          <w:sz w:val="24"/>
          <w:szCs w:val="24"/>
        </w:rPr>
      </w:pPr>
      <w:r>
        <w:rPr>
          <w:rFonts w:ascii="Times New Roman" w:hAnsi="Times New Roman"/>
          <w:b/>
          <w:sz w:val="24"/>
          <w:szCs w:val="24"/>
        </w:rPr>
      </w:r>
    </w:p>
    <w:p>
      <w:pPr>
        <w:pStyle w:val="Normal"/>
        <w:tabs>
          <w:tab w:val="clear" w:pos="708"/>
          <w:tab w:val="left" w:pos="567" w:leader="none"/>
        </w:tabs>
        <w:spacing w:before="0" w:after="0"/>
        <w:jc w:val="center"/>
        <w:rPr>
          <w:rFonts w:ascii="Times New Roman" w:hAnsi="Times New Roman"/>
          <w:b/>
          <w:b/>
          <w:sz w:val="24"/>
          <w:szCs w:val="24"/>
        </w:rPr>
      </w:pPr>
      <w:r>
        <w:rPr>
          <w:rFonts w:ascii="Times New Roman" w:hAnsi="Times New Roman"/>
          <w:b/>
          <w:sz w:val="24"/>
          <w:szCs w:val="24"/>
        </w:rPr>
      </w:r>
    </w:p>
    <w:p>
      <w:pPr>
        <w:pStyle w:val="Normal"/>
        <w:tabs>
          <w:tab w:val="clear" w:pos="708"/>
          <w:tab w:val="left" w:pos="567" w:leader="none"/>
        </w:tabs>
        <w:spacing w:before="0" w:after="0"/>
        <w:jc w:val="center"/>
        <w:rPr>
          <w:rFonts w:ascii="Times New Roman" w:hAnsi="Times New Roman"/>
          <w:b/>
          <w:b/>
          <w:sz w:val="24"/>
          <w:szCs w:val="24"/>
        </w:rPr>
      </w:pPr>
      <w:r>
        <w:rPr>
          <w:rFonts w:ascii="Times New Roman" w:hAnsi="Times New Roman"/>
          <w:b/>
          <w:sz w:val="24"/>
          <w:szCs w:val="24"/>
        </w:rPr>
        <w:t>Obrazloženje:</w:t>
      </w:r>
    </w:p>
    <w:p>
      <w:pPr>
        <w:pStyle w:val="Normal"/>
        <w:tabs>
          <w:tab w:val="clear" w:pos="708"/>
          <w:tab w:val="left" w:pos="567" w:leader="none"/>
        </w:tabs>
        <w:spacing w:before="0" w:after="0"/>
        <w:jc w:val="both"/>
        <w:rPr>
          <w:rFonts w:ascii="Times New Roman" w:hAnsi="Times New Roman"/>
          <w:b/>
          <w:b/>
          <w:sz w:val="24"/>
          <w:szCs w:val="24"/>
        </w:rPr>
      </w:pPr>
      <w:r>
        <w:rPr>
          <w:rFonts w:ascii="Times New Roman" w:hAnsi="Times New Roman"/>
          <w:b/>
          <w:sz w:val="24"/>
          <w:szCs w:val="24"/>
        </w:rPr>
      </w:r>
    </w:p>
    <w:p>
      <w:pPr>
        <w:pStyle w:val="Normal"/>
        <w:tabs>
          <w:tab w:val="clear" w:pos="708"/>
          <w:tab w:val="left" w:pos="567" w:leader="none"/>
        </w:tabs>
        <w:spacing w:before="0" w:after="0"/>
        <w:jc w:val="both"/>
        <w:rPr>
          <w:rFonts w:ascii="Times New Roman" w:hAnsi="Times New Roman"/>
          <w:sz w:val="24"/>
          <w:szCs w:val="24"/>
        </w:rPr>
      </w:pPr>
      <w:r>
        <w:rPr>
          <w:rFonts w:ascii="Times New Roman" w:hAnsi="Times New Roman"/>
          <w:sz w:val="24"/>
          <w:szCs w:val="24"/>
        </w:rPr>
        <w:tab/>
        <w:t xml:space="preserve">Zakonom o izmjenama i dopunama Zakona o porezu na dohodak utvrđena je obveza predstavničkih tijela jedinica lokalne samouprave za određivanje visine paušalnog poreza na dohodak za fizičke osobe koje ostvaruju dohodak od iznajmljivanja stanova, soba i postelja putnicima i turistima i organiziranja kampova. </w:t>
      </w:r>
    </w:p>
    <w:p>
      <w:pPr>
        <w:pStyle w:val="Normal"/>
        <w:tabs>
          <w:tab w:val="clear" w:pos="708"/>
          <w:tab w:val="left" w:pos="567" w:leader="none"/>
        </w:tabs>
        <w:spacing w:before="0" w:after="0"/>
        <w:jc w:val="both"/>
        <w:rPr>
          <w:rFonts w:ascii="Times New Roman" w:hAnsi="Times New Roman"/>
          <w:sz w:val="24"/>
          <w:szCs w:val="24"/>
        </w:rPr>
      </w:pPr>
      <w:r>
        <w:rPr>
          <w:rFonts w:ascii="Times New Roman" w:hAnsi="Times New Roman"/>
          <w:sz w:val="24"/>
          <w:szCs w:val="24"/>
        </w:rPr>
        <w:tab/>
        <w:t xml:space="preserve">Prema dosadašnjem zakonodavnom okviru porezni obveznik koji je ostvarivao dohodak od iznajmljivanja stanova, soba i postelja putnicima i turistima i organiziranja kampova, porez na dohodak po osnovi obavljanja te djelatnosti utvrđivao se u paušalnom iznosu, ali su visina paušalnog dohotka i poreza na dohodak, rokovi plaćanja poreza te evidencije i izvješća u svezi paušalnog oporezivanja bile propisane Pravilnikom Ministra financija (Narodne novine broj 1/17) i navedeno se primjenjivalo jedinstveno na cijelom području Republike Hrvatske.   </w:t>
      </w:r>
    </w:p>
    <w:p>
      <w:pPr>
        <w:pStyle w:val="Normal"/>
        <w:tabs>
          <w:tab w:val="clear" w:pos="708"/>
          <w:tab w:val="left" w:pos="567" w:leader="none"/>
        </w:tabs>
        <w:spacing w:before="0" w:after="0"/>
        <w:jc w:val="both"/>
        <w:rPr>
          <w:rFonts w:ascii="Times New Roman" w:hAnsi="Times New Roman"/>
          <w:sz w:val="24"/>
          <w:szCs w:val="24"/>
        </w:rPr>
      </w:pPr>
      <w:r>
        <w:rPr>
          <w:rFonts w:ascii="Times New Roman" w:hAnsi="Times New Roman"/>
          <w:sz w:val="24"/>
          <w:szCs w:val="24"/>
        </w:rPr>
        <w:tab/>
      </w:r>
    </w:p>
    <w:p>
      <w:pPr>
        <w:pStyle w:val="Normal"/>
        <w:tabs>
          <w:tab w:val="clear" w:pos="708"/>
          <w:tab w:val="left" w:pos="567" w:leader="none"/>
        </w:tabs>
        <w:spacing w:before="0" w:after="0"/>
        <w:jc w:val="both"/>
        <w:rPr>
          <w:rFonts w:ascii="Times New Roman" w:hAnsi="Times New Roman"/>
          <w:sz w:val="24"/>
          <w:szCs w:val="24"/>
        </w:rPr>
      </w:pPr>
      <w:r>
        <w:rPr>
          <w:rFonts w:ascii="Times New Roman" w:hAnsi="Times New Roman"/>
          <w:sz w:val="24"/>
          <w:szCs w:val="24"/>
        </w:rPr>
        <w:tab/>
        <w:t>Zakonom je utvrđena visina paušalnog poreza koji ne može biti manji od 150,00 kuna niti veći od 1.500,00 kuna po krevetu odnosno po smještajnoj jedinici u kampu godišnje. Ukoliko predstavničko tijelo jedinice lokalne samouprave ne donese odluku o visini paušalnog poreza, primjenjivat će se Zakonom utvrđen iznos od 750,00 kn po krevetu odnosno po smještajnoj jedinici godišnje.</w:t>
      </w:r>
    </w:p>
    <w:p>
      <w:pPr>
        <w:pStyle w:val="Normal"/>
        <w:tabs>
          <w:tab w:val="clear" w:pos="708"/>
          <w:tab w:val="left" w:pos="567" w:leader="none"/>
        </w:tabs>
        <w:spacing w:before="0" w:after="0"/>
        <w:jc w:val="both"/>
        <w:rPr>
          <w:rFonts w:ascii="Times New Roman" w:hAnsi="Times New Roman"/>
          <w:sz w:val="24"/>
          <w:szCs w:val="24"/>
        </w:rPr>
      </w:pPr>
      <w:r>
        <w:rPr>
          <w:rFonts w:ascii="Times New Roman" w:hAnsi="Times New Roman"/>
          <w:sz w:val="24"/>
          <w:szCs w:val="24"/>
        </w:rPr>
        <w:tab/>
        <w:t xml:space="preserve">Predstavnička tijela obvezna su donijeti Odluku o visini paušalnog poreza najkasnije do 31. siječnja 2019. godine te istu dostaviti Poreznoj upravi najkasnije do 15. veljače 2019. godine. Donijeta Odluka primjenjuje se do donošenja nove odluke koju predstavničko tijelo lokalne samoupravi može donijeti do 15. prosinca tekuće godine, a koja se primjenjuje od 1. siječnja sljedeće godine. </w:t>
      </w:r>
    </w:p>
    <w:p>
      <w:pPr>
        <w:pStyle w:val="Normal"/>
        <w:tabs>
          <w:tab w:val="clear" w:pos="708"/>
          <w:tab w:val="left" w:pos="567"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567" w:leader="none"/>
        </w:tabs>
        <w:spacing w:before="0" w:after="0"/>
        <w:jc w:val="both"/>
        <w:rPr>
          <w:rFonts w:ascii="Times New Roman" w:hAnsi="Times New Roman"/>
          <w:sz w:val="24"/>
          <w:szCs w:val="24"/>
        </w:rPr>
      </w:pPr>
      <w:r>
        <w:rPr>
          <w:rFonts w:ascii="Times New Roman" w:hAnsi="Times New Roman"/>
          <w:sz w:val="24"/>
          <w:szCs w:val="24"/>
        </w:rPr>
        <w:tab/>
      </w:r>
    </w:p>
    <w:p>
      <w:pPr>
        <w:pStyle w:val="Normal"/>
        <w:tabs>
          <w:tab w:val="clear" w:pos="708"/>
          <w:tab w:val="left" w:pos="567"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567" w:leader="none"/>
        </w:tabs>
        <w:spacing w:before="0" w:after="0"/>
        <w:jc w:val="right"/>
        <w:rPr/>
      </w:pPr>
      <w:r>
        <w:rPr>
          <w:rFonts w:ascii="Times New Roman" w:hAnsi="Times New Roman"/>
          <w:b/>
          <w:sz w:val="24"/>
          <w:szCs w:val="24"/>
        </w:rPr>
        <w:t>Nataša Martinčević, Pročelnica Općine Kloštar Podravski</w:t>
        <w:tab/>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hr-HR" w:eastAsia="hr-HR"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13dd1"/>
    <w:pPr>
      <w:widowControl/>
      <w:bidi w:val="0"/>
      <w:spacing w:lineRule="auto" w:line="259" w:before="0" w:after="160"/>
      <w:jc w:val="left"/>
    </w:pPr>
    <w:rPr>
      <w:rFonts w:ascii="Calibri" w:hAnsi="Calibri" w:eastAsia="Calibri" w:cs="Times New Roman"/>
      <w:color w:val="00000A"/>
      <w:kern w:val="0"/>
      <w:sz w:val="22"/>
      <w:szCs w:val="22"/>
      <w:lang w:val="hr-HR" w:eastAsia="hr-HR" w:bidi="ar-SA"/>
    </w:rPr>
  </w:style>
  <w:style w:type="character" w:styleId="DefaultParagraphFont" w:default="1">
    <w:name w:val="Default Paragraph Font"/>
    <w:uiPriority w:val="1"/>
    <w:semiHidden/>
    <w:unhideWhenUsed/>
    <w:qFormat/>
    <w:rPr/>
  </w:style>
  <w:style w:type="character" w:styleId="Internetskapoveznica">
    <w:name w:val="Internetska poveznica"/>
    <w:uiPriority w:val="99"/>
    <w:rsid w:val="004b6ce2"/>
    <w:rPr>
      <w:rFonts w:cs="Times New Roman"/>
      <w:color w:val="0563C1"/>
      <w:u w:val="single"/>
    </w:rPr>
  </w:style>
  <w:style w:type="character" w:styleId="TekstbaloniaChar" w:customStyle="1">
    <w:name w:val="Tekst balončića Char"/>
    <w:link w:val="Tekstbalonia"/>
    <w:uiPriority w:val="99"/>
    <w:semiHidden/>
    <w:qFormat/>
    <w:locked/>
    <w:rsid w:val="00660595"/>
    <w:rPr>
      <w:rFonts w:ascii="Segoe UI" w:hAnsi="Segoe UI" w:cs="Segoe UI"/>
      <w:sz w:val="18"/>
      <w:szCs w:val="18"/>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88"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baloniaChar"/>
    <w:uiPriority w:val="99"/>
    <w:semiHidden/>
    <w:qFormat/>
    <w:rsid w:val="00660595"/>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LibreOffice/6.3.1.2$Windows_X86_64 LibreOffice_project/b79626edf0065ac373bd1df5c28bd630b4424273</Application>
  <Pages>2</Pages>
  <Words>429</Words>
  <Characters>2574</Characters>
  <CharactersWithSpaces>3123</CharactersWithSpaces>
  <Paragraphs>25</Paragraphs>
  <Company>Deftones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2019-01-25T08:30:00Z</dcterms:created>
  <dc:creator>Windows korisnik</dc:creator>
  <dc:description/>
  <dc:language>hr-HR</dc:language>
  <cp:lastModifiedBy/>
  <cp:lastPrinted>2019-03-14T11:02:00Z</cp:lastPrinted>
  <dcterms:modified xsi:type="dcterms:W3CDTF">2019-03-21T10:10:05Z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Deftones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