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i/>
          <w:i/>
          <w:iCs/>
        </w:rPr>
      </w:pPr>
      <w:r>
        <w:rPr>
          <w:i/>
          <w:iCs/>
        </w:rPr>
        <w:t>Općina Kloštar Podravski</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bCs/>
          <w:sz w:val="32"/>
          <w:szCs w:val="32"/>
        </w:rPr>
      </w:pPr>
      <w:r>
        <w:rPr>
          <w:b/>
          <w:bCs/>
          <w:sz w:val="32"/>
          <w:szCs w:val="32"/>
        </w:rPr>
        <w:t>IZVJEŠĆE</w:t>
      </w:r>
    </w:p>
    <w:p>
      <w:pPr>
        <w:pStyle w:val="Normal"/>
        <w:jc w:val="center"/>
        <w:rPr/>
      </w:pPr>
      <w:r>
        <w:rPr/>
        <w:t xml:space="preserve">o provedbi Plana gospodarenja otpadom </w:t>
      </w:r>
    </w:p>
    <w:p>
      <w:pPr>
        <w:pStyle w:val="Normal"/>
        <w:jc w:val="center"/>
        <w:rPr>
          <w:i/>
          <w:i/>
          <w:iCs/>
        </w:rPr>
      </w:pPr>
      <w:r>
        <w:rPr>
          <w:i/>
          <w:iCs/>
        </w:rPr>
        <w:t>Općine Kloštar Podravski</w:t>
      </w:r>
    </w:p>
    <w:p>
      <w:pPr>
        <w:pStyle w:val="Normal"/>
        <w:jc w:val="center"/>
        <w:rPr/>
      </w:pPr>
      <w:r>
        <w:rPr/>
        <w:t xml:space="preserve">za 2019.god. </w:t>
      </w:r>
    </w:p>
    <w:p>
      <w:pPr>
        <w:pStyle w:val="Normal"/>
        <w:jc w:val="center"/>
        <w:rPr/>
      </w:pPr>
      <w:r>
        <w:rPr/>
      </w:r>
    </w:p>
    <w:p>
      <w:pPr>
        <w:pStyle w:val="Normal"/>
        <w:jc w:val="center"/>
        <w:rPr/>
      </w:pPr>
      <w:r>
        <w:rPr/>
        <mc:AlternateContent>
          <mc:Choice Requires="wps">
            <w:drawing>
              <wp:inline distT="0" distB="0" distL="0" distR="0">
                <wp:extent cx="1219835" cy="1410335"/>
                <wp:effectExtent l="0" t="0" r="0" b="0"/>
                <wp:docPr id="1" name="Slika 72"/>
                <a:graphic xmlns:a="http://schemas.openxmlformats.org/drawingml/2006/main">
                  <a:graphicData uri="http://schemas.openxmlformats.org/drawingml/2006/picture">
                    <pic:pic xmlns:pic="http://schemas.openxmlformats.org/drawingml/2006/picture">
                      <pic:nvPicPr>
                        <pic:cNvPr id="0" name="Slika 72" descr=""/>
                        <pic:cNvPicPr/>
                      </pic:nvPicPr>
                      <pic:blipFill>
                        <a:blip r:embed="rId2"/>
                        <a:stretch/>
                      </pic:blipFill>
                      <pic:spPr>
                        <a:xfrm>
                          <a:off x="0" y="0"/>
                          <a:ext cx="1219320" cy="14097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lika 72" stroked="f" style="position:absolute;margin-left:0pt;margin-top:-111.05pt;width:95.95pt;height:110.95pt;mso-position-vertical:top" type="shapetype_75">
                <v:imagedata r:id="rId2" o:detectmouseclick="t"/>
                <w10:wrap type="none"/>
                <v:stroke color="#3465a4" joinstyle="round" endcap="flat"/>
              </v:shape>
            </w:pict>
          </mc:Fallback>
        </mc:AlternateConten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jc w:val="center"/>
        <w:rPr>
          <w:i/>
          <w:i/>
          <w:iCs/>
        </w:rPr>
      </w:pPr>
      <w:r>
        <w:rPr>
          <w:i/>
          <w:iCs/>
        </w:rPr>
        <w:t xml:space="preserve">Ožujak, 2020.god. </w:t>
      </w:r>
    </w:p>
    <w:p>
      <w:pPr>
        <w:pStyle w:val="Normal"/>
        <w:jc w:val="left"/>
        <w:rPr>
          <w:b/>
          <w:b/>
          <w:bCs/>
        </w:rPr>
      </w:pPr>
      <w:r>
        <w:rPr>
          <w:b/>
          <w:bCs/>
        </w:rPr>
      </w:r>
    </w:p>
    <w:p>
      <w:pPr>
        <w:pStyle w:val="Normal"/>
        <w:jc w:val="left"/>
        <w:rPr/>
      </w:pPr>
      <w:r>
        <w:rPr>
          <w:b/>
          <w:bCs/>
        </w:rPr>
        <w:t>SADRŽAJ:</w:t>
      </w:r>
    </w:p>
    <w:sdt>
      <w:sdtPr>
        <w:docPartObj>
          <w:docPartGallery w:val="Table of Contents"/>
          <w:docPartUnique w:val="true"/>
        </w:docPartObj>
      </w:sdtPr>
      <w:sdtContent>
        <w:p>
          <w:pPr>
            <w:pStyle w:val="Sadraj1"/>
            <w:tabs>
              <w:tab w:val="clear" w:pos="708"/>
              <w:tab w:val="right" w:pos="9062" w:leader="dot"/>
            </w:tabs>
            <w:rPr>
              <w:b w:val="false"/>
              <w:b w:val="false"/>
              <w:bCs w:val="false"/>
              <w:caps w:val="false"/>
              <w:smallCaps w:val="false"/>
              <w:sz w:val="22"/>
              <w:szCs w:val="22"/>
              <w:lang w:eastAsia="hr-HR"/>
            </w:rPr>
          </w:pPr>
          <w:r>
            <w:fldChar w:fldCharType="begin"/>
          </w:r>
          <w:r>
            <w:rPr>
              <w:webHidden/>
              <w:rStyle w:val="Indeksnapoveznica"/>
            </w:rPr>
            <w:instrText> TOC \z \o "1-4" \u \h</w:instrText>
          </w:r>
          <w:r>
            <w:rPr>
              <w:webHidden/>
              <w:rStyle w:val="Indeksnapoveznica"/>
            </w:rPr>
            <w:fldChar w:fldCharType="separate"/>
          </w:r>
          <w:hyperlink w:anchor="_Toc33778740">
            <w:r>
              <w:rPr>
                <w:webHidden/>
                <w:rStyle w:val="Indeksnapoveznica"/>
              </w:rPr>
              <w:t>1. UVOD</w:t>
            </w:r>
            <w:r>
              <w:rPr>
                <w:webHidden/>
              </w:rPr>
              <w:fldChar w:fldCharType="begin"/>
            </w:r>
            <w:r>
              <w:rPr>
                <w:webHidden/>
              </w:rPr>
              <w:instrText>PAGEREF _Toc33778740 \h</w:instrText>
            </w:r>
            <w:r>
              <w:rPr>
                <w:webHidden/>
              </w:rPr>
              <w:fldChar w:fldCharType="separate"/>
            </w:r>
            <w:r>
              <w:rPr>
                <w:rStyle w:val="Indeksnapoveznica"/>
                <w:vanish w:val="false"/>
              </w:rPr>
              <w:tab/>
              <w:t>4</w:t>
            </w:r>
            <w:r>
              <w:rPr>
                <w:webHidden/>
              </w:rPr>
              <w:fldChar w:fldCharType="end"/>
            </w:r>
          </w:hyperlink>
        </w:p>
        <w:p>
          <w:pPr>
            <w:pStyle w:val="Sadraj2"/>
            <w:tabs>
              <w:tab w:val="clear" w:pos="708"/>
              <w:tab w:val="right" w:pos="9062" w:leader="dot"/>
            </w:tabs>
            <w:rPr>
              <w:caps w:val="false"/>
              <w:smallCaps w:val="false"/>
              <w:sz w:val="22"/>
              <w:szCs w:val="22"/>
              <w:lang w:eastAsia="hr-HR"/>
            </w:rPr>
          </w:pPr>
          <w:hyperlink w:anchor="_Toc33778741">
            <w:r>
              <w:rPr>
                <w:webHidden/>
                <w:rStyle w:val="Indeksnapoveznica"/>
              </w:rPr>
              <w:t>1.1. OSNOVNE ZNAČAJKE OPĆINE KLOŠTAR PODRAVSKI</w:t>
            </w:r>
            <w:r>
              <w:rPr>
                <w:webHidden/>
              </w:rPr>
              <w:fldChar w:fldCharType="begin"/>
            </w:r>
            <w:r>
              <w:rPr>
                <w:webHidden/>
              </w:rPr>
              <w:instrText>PAGEREF _Toc33778741 \h</w:instrText>
            </w:r>
            <w:r>
              <w:rPr>
                <w:webHidden/>
              </w:rPr>
              <w:fldChar w:fldCharType="separate"/>
            </w:r>
            <w:r>
              <w:rPr>
                <w:rStyle w:val="Indeksnapoveznica"/>
                <w:vanish w:val="false"/>
              </w:rPr>
              <w:tab/>
              <w:t>4</w:t>
            </w:r>
            <w:r>
              <w:rPr>
                <w:webHidden/>
              </w:rPr>
              <w:fldChar w:fldCharType="end"/>
            </w:r>
          </w:hyperlink>
        </w:p>
        <w:p>
          <w:pPr>
            <w:pStyle w:val="Sadraj2"/>
            <w:tabs>
              <w:tab w:val="clear" w:pos="708"/>
              <w:tab w:val="right" w:pos="9062" w:leader="dot"/>
            </w:tabs>
            <w:rPr>
              <w:caps w:val="false"/>
              <w:smallCaps w:val="false"/>
              <w:sz w:val="22"/>
              <w:szCs w:val="22"/>
              <w:lang w:eastAsia="hr-HR"/>
            </w:rPr>
          </w:pPr>
          <w:hyperlink w:anchor="_Toc33778742">
            <w:r>
              <w:rPr>
                <w:webHidden/>
                <w:rStyle w:val="Indeksnapoveznica"/>
              </w:rPr>
              <w:t>1.2. POVRŠINA I BROJ NASELJA TE BROJ STANOVNIKA OPĆINE KLOŠTAR PODRAVSKI</w:t>
            </w:r>
            <w:r>
              <w:rPr>
                <w:webHidden/>
              </w:rPr>
              <w:fldChar w:fldCharType="begin"/>
            </w:r>
            <w:r>
              <w:rPr>
                <w:webHidden/>
              </w:rPr>
              <w:instrText>PAGEREF _Toc33778742 \h</w:instrText>
            </w:r>
            <w:r>
              <w:rPr>
                <w:webHidden/>
              </w:rPr>
              <w:fldChar w:fldCharType="separate"/>
            </w:r>
            <w:r>
              <w:rPr>
                <w:rStyle w:val="Indeksnapoveznica"/>
                <w:vanish w:val="false"/>
              </w:rPr>
              <w:tab/>
              <w:t>4</w:t>
            </w:r>
            <w:r>
              <w:rPr>
                <w:webHidden/>
              </w:rPr>
              <w:fldChar w:fldCharType="end"/>
            </w:r>
          </w:hyperlink>
        </w:p>
        <w:p>
          <w:pPr>
            <w:pStyle w:val="Sadraj2"/>
            <w:tabs>
              <w:tab w:val="clear" w:pos="708"/>
              <w:tab w:val="right" w:pos="9062" w:leader="dot"/>
            </w:tabs>
            <w:rPr>
              <w:caps w:val="false"/>
              <w:smallCaps w:val="false"/>
              <w:sz w:val="22"/>
              <w:szCs w:val="22"/>
              <w:lang w:eastAsia="hr-HR"/>
            </w:rPr>
          </w:pPr>
          <w:hyperlink w:anchor="_Toc33778743">
            <w:r>
              <w:rPr>
                <w:webHidden/>
                <w:rStyle w:val="Indeksnapoveznica"/>
              </w:rPr>
              <w:t>1.3. KOMUNALNA DJELATNOST NA PODRUČJU OPĆINE KLOŠTAR PODRAVSKI</w:t>
            </w:r>
            <w:r>
              <w:rPr>
                <w:webHidden/>
              </w:rPr>
              <w:fldChar w:fldCharType="begin"/>
            </w:r>
            <w:r>
              <w:rPr>
                <w:webHidden/>
              </w:rPr>
              <w:instrText>PAGEREF _Toc33778743 \h</w:instrText>
            </w:r>
            <w:r>
              <w:rPr>
                <w:webHidden/>
              </w:rPr>
              <w:fldChar w:fldCharType="separate"/>
            </w:r>
            <w:r>
              <w:rPr>
                <w:rStyle w:val="Indeksnapoveznica"/>
                <w:vanish w:val="false"/>
              </w:rPr>
              <w:tab/>
              <w:t>5</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44">
            <w:r>
              <w:rPr>
                <w:webHidden/>
                <w:rStyle w:val="Indeksnapoveznica"/>
              </w:rPr>
              <w:t>2. OBAVEZE JEDINICE LOKALNE SAMOUPRAVE</w:t>
            </w:r>
            <w:r>
              <w:rPr>
                <w:webHidden/>
              </w:rPr>
              <w:fldChar w:fldCharType="begin"/>
            </w:r>
            <w:r>
              <w:rPr>
                <w:webHidden/>
              </w:rPr>
              <w:instrText>PAGEREF _Toc33778744 \h</w:instrText>
            </w:r>
            <w:r>
              <w:rPr>
                <w:webHidden/>
              </w:rPr>
              <w:fldChar w:fldCharType="separate"/>
            </w:r>
            <w:r>
              <w:rPr>
                <w:rStyle w:val="Indeksnapoveznica"/>
                <w:vanish w:val="false"/>
              </w:rPr>
              <w:tab/>
              <w:t>5</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45">
            <w:r>
              <w:rPr>
                <w:webHidden/>
                <w:rStyle w:val="Indeksnapoveznica"/>
              </w:rPr>
              <w:t>3. DOKUMENTI PROSTORNOG UREĐENJA</w:t>
            </w:r>
            <w:r>
              <w:rPr>
                <w:webHidden/>
              </w:rPr>
              <w:fldChar w:fldCharType="begin"/>
            </w:r>
            <w:r>
              <w:rPr>
                <w:webHidden/>
              </w:rPr>
              <w:instrText>PAGEREF _Toc33778745 \h</w:instrText>
            </w:r>
            <w:r>
              <w:rPr>
                <w:webHidden/>
              </w:rPr>
              <w:fldChar w:fldCharType="separate"/>
            </w:r>
            <w:r>
              <w:rPr>
                <w:rStyle w:val="Indeksnapoveznica"/>
                <w:vanish w:val="false"/>
              </w:rPr>
              <w:tab/>
              <w:t>6</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46">
            <w:r>
              <w:rPr>
                <w:webHidden/>
                <w:rStyle w:val="Indeksnapoveznica"/>
              </w:rPr>
              <w:t>4. PLAN GOSPODARENJA OTPADOM OPĆINE KLOŠTAR PODRAVSKI</w:t>
            </w:r>
            <w:r>
              <w:rPr>
                <w:webHidden/>
              </w:rPr>
              <w:fldChar w:fldCharType="begin"/>
            </w:r>
            <w:r>
              <w:rPr>
                <w:webHidden/>
              </w:rPr>
              <w:instrText>PAGEREF _Toc33778746 \h</w:instrText>
            </w:r>
            <w:r>
              <w:rPr>
                <w:webHidden/>
              </w:rPr>
              <w:fldChar w:fldCharType="separate"/>
            </w:r>
            <w:r>
              <w:rPr>
                <w:rStyle w:val="Indeksnapoveznica"/>
                <w:vanish w:val="false"/>
              </w:rPr>
              <w:tab/>
              <w:t>6</w:t>
            </w:r>
            <w:r>
              <w:rPr>
                <w:webHidden/>
              </w:rPr>
              <w:fldChar w:fldCharType="end"/>
            </w:r>
          </w:hyperlink>
        </w:p>
        <w:p>
          <w:pPr>
            <w:pStyle w:val="Sadraj2"/>
            <w:tabs>
              <w:tab w:val="clear" w:pos="708"/>
              <w:tab w:val="right" w:pos="9062" w:leader="dot"/>
            </w:tabs>
            <w:rPr>
              <w:caps w:val="false"/>
              <w:smallCaps w:val="false"/>
              <w:sz w:val="22"/>
              <w:szCs w:val="22"/>
              <w:lang w:eastAsia="hr-HR"/>
            </w:rPr>
          </w:pPr>
          <w:hyperlink w:anchor="_Toc33778747">
            <w:r>
              <w:rPr>
                <w:webHidden/>
                <w:rStyle w:val="Indeksnapoveznica"/>
              </w:rPr>
              <w:t>4.1. CILJEVI I MJERE IZ PLANA GOSPODARENJA OTPADOM OPĆINE</w:t>
            </w:r>
            <w:r>
              <w:rPr>
                <w:webHidden/>
              </w:rPr>
              <w:fldChar w:fldCharType="begin"/>
            </w:r>
            <w:r>
              <w:rPr>
                <w:webHidden/>
              </w:rPr>
              <w:instrText>PAGEREF _Toc33778747 \h</w:instrText>
            </w:r>
            <w:r>
              <w:rPr>
                <w:webHidden/>
              </w:rPr>
              <w:fldChar w:fldCharType="separate"/>
            </w:r>
            <w:r>
              <w:rPr>
                <w:rStyle w:val="Indeksnapoveznica"/>
                <w:vanish w:val="false"/>
              </w:rPr>
              <w:tab/>
              <w:t>7</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48">
            <w:r>
              <w:rPr>
                <w:webHidden/>
                <w:rStyle w:val="Indeksnapoveznica"/>
              </w:rPr>
              <w:t>5. ANALIZA, OCJENA STANJA I POTREBA U GOSPODARENJU OTPADOM NA PODRUČJU OPĆINE KLOŠTAR PODRAVSKI, UKLJUČUJUĆI OSTVARIVANJE CILJEVA</w:t>
            </w:r>
            <w:r>
              <w:rPr>
                <w:webHidden/>
              </w:rPr>
              <w:fldChar w:fldCharType="begin"/>
            </w:r>
            <w:r>
              <w:rPr>
                <w:webHidden/>
              </w:rPr>
              <w:instrText>PAGEREF _Toc33778748 \h</w:instrText>
            </w:r>
            <w:r>
              <w:rPr>
                <w:webHidden/>
              </w:rPr>
              <w:fldChar w:fldCharType="separate"/>
            </w:r>
            <w:r>
              <w:rPr>
                <w:rStyle w:val="Indeksnapoveznica"/>
                <w:vanish w:val="false"/>
              </w:rPr>
              <w:tab/>
              <w:t>7</w:t>
            </w:r>
            <w:r>
              <w:rPr>
                <w:webHidden/>
              </w:rPr>
              <w:fldChar w:fldCharType="end"/>
            </w:r>
          </w:hyperlink>
        </w:p>
        <w:p>
          <w:pPr>
            <w:pStyle w:val="Sadraj2"/>
            <w:tabs>
              <w:tab w:val="clear" w:pos="708"/>
              <w:tab w:val="right" w:pos="9062" w:leader="dot"/>
            </w:tabs>
            <w:rPr>
              <w:caps w:val="false"/>
              <w:smallCaps w:val="false"/>
              <w:sz w:val="22"/>
              <w:szCs w:val="22"/>
              <w:lang w:eastAsia="hr-HR"/>
            </w:rPr>
          </w:pPr>
          <w:hyperlink w:anchor="_Toc33778749">
            <w:r>
              <w:rPr>
                <w:webHidden/>
                <w:rStyle w:val="Indeksnapoveznica"/>
              </w:rPr>
              <w:t>5.1. POSTOJEĆE STANJE SUSTAVA GOSPODARENJA OTPADOM</w:t>
            </w:r>
            <w:r>
              <w:rPr>
                <w:webHidden/>
              </w:rPr>
              <w:fldChar w:fldCharType="begin"/>
            </w:r>
            <w:r>
              <w:rPr>
                <w:webHidden/>
              </w:rPr>
              <w:instrText>PAGEREF _Toc33778749 \h</w:instrText>
            </w:r>
            <w:r>
              <w:rPr>
                <w:webHidden/>
              </w:rPr>
              <w:fldChar w:fldCharType="separate"/>
            </w:r>
            <w:r>
              <w:rPr>
                <w:rStyle w:val="Indeksnapoveznica"/>
                <w:vanish w:val="false"/>
              </w:rPr>
              <w:tab/>
              <w:t>7</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50">
            <w:r>
              <w:rPr>
                <w:webHidden/>
                <w:rStyle w:val="Indeksnapoveznica"/>
              </w:rPr>
              <w:t>6. PODACI O VRSTAMA I KOLIČINAMA SKUPLJENOG KOMUNALNOG, BIORAZGRADIVOG I DRUGOG ODVOJENO SKUPLJENOG OTPADA TE PODACI O ODLAGANJU NA PODRUČJU OPĆINE KLOŠTAR PODRAVSKI</w:t>
            </w:r>
            <w:r>
              <w:rPr>
                <w:webHidden/>
              </w:rPr>
              <w:fldChar w:fldCharType="begin"/>
            </w:r>
            <w:r>
              <w:rPr>
                <w:webHidden/>
              </w:rPr>
              <w:instrText>PAGEREF _Toc33778750 \h</w:instrText>
            </w:r>
            <w:r>
              <w:rPr>
                <w:webHidden/>
              </w:rPr>
              <w:fldChar w:fldCharType="separate"/>
            </w:r>
            <w:r>
              <w:rPr>
                <w:rStyle w:val="Indeksnapoveznica"/>
                <w:vanish w:val="false"/>
              </w:rPr>
              <w:tab/>
              <w:t>9</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51">
            <w:r>
              <w:rPr>
                <w:webHidden/>
                <w:rStyle w:val="Indeksnapoveznica"/>
              </w:rPr>
              <w:t>7. PODACI O POSTOJEĆIM I PLANIRANIM GRAĐEVINAMA I UREĐAJIMA ZA GOSPODARENJE OTPADOM TE STATUS SANACIJE NEUSKLAĐENIH ODLAGALIŠTA I LOKACIJA ONEČIŠĆENIH OTPADOM</w:t>
            </w:r>
            <w:r>
              <w:rPr>
                <w:webHidden/>
              </w:rPr>
              <w:fldChar w:fldCharType="begin"/>
            </w:r>
            <w:r>
              <w:rPr>
                <w:webHidden/>
              </w:rPr>
              <w:instrText>PAGEREF _Toc33778751 \h</w:instrText>
            </w:r>
            <w:r>
              <w:rPr>
                <w:webHidden/>
              </w:rPr>
              <w:fldChar w:fldCharType="separate"/>
            </w:r>
            <w:r>
              <w:rPr>
                <w:rStyle w:val="Indeksnapoveznica"/>
                <w:vanish w:val="false"/>
              </w:rPr>
              <w:tab/>
              <w:t>9</w:t>
            </w:r>
            <w:r>
              <w:rPr>
                <w:webHidden/>
              </w:rPr>
              <w:fldChar w:fldCharType="end"/>
            </w:r>
          </w:hyperlink>
        </w:p>
        <w:p>
          <w:pPr>
            <w:pStyle w:val="Sadraj2"/>
            <w:tabs>
              <w:tab w:val="clear" w:pos="708"/>
              <w:tab w:val="right" w:pos="9062" w:leader="dot"/>
            </w:tabs>
            <w:rPr>
              <w:caps w:val="false"/>
              <w:smallCaps w:val="false"/>
              <w:sz w:val="22"/>
              <w:szCs w:val="22"/>
              <w:lang w:eastAsia="hr-HR"/>
            </w:rPr>
          </w:pPr>
          <w:hyperlink w:anchor="_Toc33778752">
            <w:r>
              <w:rPr>
                <w:webHidden/>
                <w:rStyle w:val="Indeksnapoveznica"/>
              </w:rPr>
              <w:t>7.1. SKLADIŠTE NEOPASNOG OTPADA MOLVE</w:t>
            </w:r>
            <w:r>
              <w:rPr>
                <w:webHidden/>
              </w:rPr>
              <w:fldChar w:fldCharType="begin"/>
            </w:r>
            <w:r>
              <w:rPr>
                <w:webHidden/>
              </w:rPr>
              <w:instrText>PAGEREF _Toc33778752 \h</w:instrText>
            </w:r>
            <w:r>
              <w:rPr>
                <w:webHidden/>
              </w:rPr>
              <w:fldChar w:fldCharType="separate"/>
            </w:r>
            <w:r>
              <w:rPr>
                <w:rStyle w:val="Indeksnapoveznica"/>
                <w:vanish w:val="false"/>
              </w:rPr>
              <w:tab/>
              <w:t>9</w:t>
            </w:r>
            <w:r>
              <w:rPr>
                <w:webHidden/>
              </w:rPr>
              <w:fldChar w:fldCharType="end"/>
            </w:r>
          </w:hyperlink>
        </w:p>
        <w:p>
          <w:pPr>
            <w:pStyle w:val="Sadraj2"/>
            <w:tabs>
              <w:tab w:val="clear" w:pos="708"/>
              <w:tab w:val="right" w:pos="9062" w:leader="dot"/>
            </w:tabs>
            <w:rPr>
              <w:caps w:val="false"/>
              <w:smallCaps w:val="false"/>
              <w:sz w:val="22"/>
              <w:szCs w:val="22"/>
              <w:lang w:eastAsia="hr-HR"/>
            </w:rPr>
          </w:pPr>
          <w:hyperlink w:anchor="_Toc33778753">
            <w:r>
              <w:rPr>
                <w:webHidden/>
                <w:rStyle w:val="Indeksnapoveznica"/>
              </w:rPr>
              <w:t>7.2. RECIKLAŽNO DVORIŠTE</w:t>
            </w:r>
            <w:r>
              <w:rPr>
                <w:webHidden/>
              </w:rPr>
              <w:fldChar w:fldCharType="begin"/>
            </w:r>
            <w:r>
              <w:rPr>
                <w:webHidden/>
              </w:rPr>
              <w:instrText>PAGEREF _Toc33778753 \h</w:instrText>
            </w:r>
            <w:r>
              <w:rPr>
                <w:webHidden/>
              </w:rPr>
              <w:fldChar w:fldCharType="separate"/>
            </w:r>
            <w:r>
              <w:rPr>
                <w:rStyle w:val="Indeksnapoveznica"/>
                <w:vanish w:val="false"/>
              </w:rPr>
              <w:tab/>
              <w:t>10</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54">
            <w:r>
              <w:rPr>
                <w:webHidden/>
                <w:rStyle w:val="Indeksnapoveznica"/>
                <w:rFonts w:cs="Calibri"/>
              </w:rPr>
              <w:t>8. PODACI O LOKACIJAMA ONEČIŠĆENIM OTPADOM I NJIHOVOM UKLANJANJU</w:t>
            </w:r>
            <w:r>
              <w:rPr>
                <w:webHidden/>
              </w:rPr>
              <w:fldChar w:fldCharType="begin"/>
            </w:r>
            <w:r>
              <w:rPr>
                <w:webHidden/>
              </w:rPr>
              <w:instrText>PAGEREF _Toc33778754 \h</w:instrText>
            </w:r>
            <w:r>
              <w:rPr>
                <w:webHidden/>
              </w:rPr>
              <w:fldChar w:fldCharType="separate"/>
            </w:r>
            <w:r>
              <w:rPr>
                <w:rStyle w:val="Indeksnapoveznica"/>
                <w:vanish w:val="false"/>
              </w:rPr>
              <w:tab/>
              <w:t>10</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55">
            <w:r>
              <w:rPr>
                <w:webHidden/>
                <w:rStyle w:val="Indeksnapoveznica"/>
              </w:rPr>
              <w:t>9. MJERE POTREBNE ZA OSTVARIVANJE CILJEVA SMANJIVANJA ILI SPRJEČAVANJA NASTANKA OTPADA, UKLJUČUJUĆI IZOBRAZNO – INFORMATIVNE AKTIVNOSTI I AKCIJE PRIKUPLJANJA OTPADA</w:t>
            </w:r>
            <w:r>
              <w:rPr>
                <w:webHidden/>
              </w:rPr>
              <w:fldChar w:fldCharType="begin"/>
            </w:r>
            <w:r>
              <w:rPr>
                <w:webHidden/>
              </w:rPr>
              <w:instrText>PAGEREF _Toc33778755 \h</w:instrText>
            </w:r>
            <w:r>
              <w:rPr>
                <w:webHidden/>
              </w:rPr>
              <w:fldChar w:fldCharType="separate"/>
            </w:r>
            <w:r>
              <w:rPr>
                <w:rStyle w:val="Indeksnapoveznica"/>
                <w:vanish w:val="false"/>
              </w:rPr>
              <w:tab/>
              <w:t>10</w:t>
            </w:r>
            <w:r>
              <w:rPr>
                <w:webHidden/>
              </w:rPr>
              <w:fldChar w:fldCharType="end"/>
            </w:r>
          </w:hyperlink>
        </w:p>
        <w:p>
          <w:pPr>
            <w:pStyle w:val="Sadraj2"/>
            <w:tabs>
              <w:tab w:val="clear" w:pos="708"/>
              <w:tab w:val="right" w:pos="9062" w:leader="dot"/>
            </w:tabs>
            <w:rPr>
              <w:caps w:val="false"/>
              <w:smallCaps w:val="false"/>
              <w:sz w:val="22"/>
              <w:szCs w:val="22"/>
              <w:lang w:eastAsia="hr-HR"/>
            </w:rPr>
          </w:pPr>
          <w:hyperlink w:anchor="_Toc33778756">
            <w:r>
              <w:rPr>
                <w:webHidden/>
                <w:rStyle w:val="Indeksnapoveznica"/>
                <w:lang w:eastAsia="hr-HR"/>
              </w:rPr>
              <w:t>9.2. PROVEDENE IZOBRAZNO – INFORMATIVNE AKTIVNOSTI</w:t>
            </w:r>
            <w:r>
              <w:rPr>
                <w:webHidden/>
              </w:rPr>
              <w:fldChar w:fldCharType="begin"/>
            </w:r>
            <w:r>
              <w:rPr>
                <w:webHidden/>
              </w:rPr>
              <w:instrText>PAGEREF _Toc33778756 \h</w:instrText>
            </w:r>
            <w:r>
              <w:rPr>
                <w:webHidden/>
              </w:rPr>
              <w:fldChar w:fldCharType="separate"/>
            </w:r>
            <w:r>
              <w:rPr>
                <w:rStyle w:val="Indeksnapoveznica"/>
                <w:vanish w:val="false"/>
              </w:rPr>
              <w:tab/>
              <w:t>11</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57">
            <w:r>
              <w:rPr>
                <w:webHidden/>
                <w:rStyle w:val="Indeksnapoveznica"/>
                <w:lang w:eastAsia="hr-HR"/>
              </w:rPr>
              <w:t>10. OPĆE MJERE ZA GOSPODARENJE OTPADOM, OPASNIM OTPADOM I POSEBNIM KATEGORIJAMA OTPADA</w:t>
            </w:r>
            <w:r>
              <w:rPr>
                <w:webHidden/>
              </w:rPr>
              <w:fldChar w:fldCharType="begin"/>
            </w:r>
            <w:r>
              <w:rPr>
                <w:webHidden/>
              </w:rPr>
              <w:instrText>PAGEREF _Toc33778757 \h</w:instrText>
            </w:r>
            <w:r>
              <w:rPr>
                <w:webHidden/>
              </w:rPr>
              <w:fldChar w:fldCharType="separate"/>
            </w:r>
            <w:r>
              <w:rPr>
                <w:rStyle w:val="Indeksnapoveznica"/>
                <w:vanish w:val="false"/>
              </w:rPr>
              <w:tab/>
              <w:t>11</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58">
            <w:r>
              <w:rPr>
                <w:webHidden/>
                <w:rStyle w:val="Indeksnapoveznica"/>
                <w:lang w:eastAsia="hr-HR"/>
              </w:rPr>
              <w:t>11. MJERE PRIKUPLJANJA MIJEŠANOG KOMUNALNOG OTPADA I BIORAZGRADIVOG KOMUNALNOG OTPADA TE MJERE ODVOJENOG PRIKUPLJANJA OTPADNOG PAPIRA, METALA, STAKLA I PLASTIKE TE KRUPNOG (GLOMAZNOG) KOMUNALNOG OTPADA</w:t>
            </w:r>
            <w:r>
              <w:rPr>
                <w:webHidden/>
              </w:rPr>
              <w:fldChar w:fldCharType="begin"/>
            </w:r>
            <w:r>
              <w:rPr>
                <w:webHidden/>
              </w:rPr>
              <w:instrText>PAGEREF _Toc33778758 \h</w:instrText>
            </w:r>
            <w:r>
              <w:rPr>
                <w:webHidden/>
              </w:rPr>
              <w:fldChar w:fldCharType="separate"/>
            </w:r>
            <w:r>
              <w:rPr>
                <w:rStyle w:val="Indeksnapoveznica"/>
                <w:vanish w:val="false"/>
              </w:rPr>
              <w:tab/>
              <w:t>11</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59">
            <w:r>
              <w:rPr>
                <w:webHidden/>
                <w:rStyle w:val="Indeksnapoveznica"/>
              </w:rPr>
              <w:t>12.  POPIS PROJEKATA ZA PROVEDBU ODREDBI PLANA, ORGANIZACIJSKI ASPEKTI, IZVORI I VISINA FINANCIJSKIH SREDSTVA ZA PROVEDBU MJERA GOSPODARENJA OTPADOM</w:t>
            </w:r>
            <w:r>
              <w:rPr>
                <w:webHidden/>
              </w:rPr>
              <w:fldChar w:fldCharType="begin"/>
            </w:r>
            <w:r>
              <w:rPr>
                <w:webHidden/>
              </w:rPr>
              <w:instrText>PAGEREF _Toc33778759 \h</w:instrText>
            </w:r>
            <w:r>
              <w:rPr>
                <w:webHidden/>
              </w:rPr>
              <w:fldChar w:fldCharType="separate"/>
            </w:r>
            <w:r>
              <w:rPr>
                <w:rStyle w:val="Indeksnapoveznica"/>
                <w:vanish w:val="false"/>
              </w:rPr>
              <w:tab/>
              <w:t>12</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60">
            <w:r>
              <w:rPr>
                <w:webHidden/>
                <w:rStyle w:val="Indeksnapoveznica"/>
              </w:rPr>
              <w:t>13. ROKOVI I NOSITELJI IZVRŠENJA PLAN GOSPODARENJA OTPADOM OPĆINE KLOŠTAR PODRAVSKI U 2019.GOD.</w:t>
            </w:r>
            <w:r>
              <w:rPr>
                <w:webHidden/>
              </w:rPr>
              <w:fldChar w:fldCharType="begin"/>
            </w:r>
            <w:r>
              <w:rPr>
                <w:webHidden/>
              </w:rPr>
              <w:instrText>PAGEREF _Toc33778760 \h</w:instrText>
            </w:r>
            <w:r>
              <w:rPr>
                <w:webHidden/>
              </w:rPr>
              <w:fldChar w:fldCharType="separate"/>
            </w:r>
            <w:r>
              <w:rPr>
                <w:rStyle w:val="Indeksnapoveznica"/>
                <w:vanish w:val="false"/>
              </w:rPr>
              <w:tab/>
              <w:t>13</w:t>
            </w:r>
            <w:r>
              <w:rPr>
                <w:webHidden/>
              </w:rPr>
              <w:fldChar w:fldCharType="end"/>
            </w:r>
          </w:hyperlink>
        </w:p>
        <w:p>
          <w:pPr>
            <w:pStyle w:val="Sadraj1"/>
            <w:tabs>
              <w:tab w:val="clear" w:pos="708"/>
              <w:tab w:val="right" w:pos="9062" w:leader="dot"/>
            </w:tabs>
            <w:rPr>
              <w:b w:val="false"/>
              <w:b w:val="false"/>
              <w:bCs w:val="false"/>
              <w:caps w:val="false"/>
              <w:smallCaps w:val="false"/>
              <w:sz w:val="22"/>
              <w:szCs w:val="22"/>
              <w:lang w:eastAsia="hr-HR"/>
            </w:rPr>
          </w:pPr>
          <w:hyperlink w:anchor="_Toc33778761">
            <w:r>
              <w:rPr>
                <w:webHidden/>
                <w:rStyle w:val="Indeksnapoveznica"/>
              </w:rPr>
              <w:t>14. ZAKLJUČAK</w:t>
            </w:r>
            <w:r>
              <w:rPr>
                <w:webHidden/>
              </w:rPr>
              <w:fldChar w:fldCharType="begin"/>
            </w:r>
            <w:r>
              <w:rPr>
                <w:webHidden/>
              </w:rPr>
              <w:instrText>PAGEREF _Toc33778761 \h</w:instrText>
            </w:r>
            <w:r>
              <w:rPr>
                <w:webHidden/>
              </w:rPr>
              <w:fldChar w:fldCharType="separate"/>
            </w:r>
            <w:r>
              <w:rPr>
                <w:rStyle w:val="Indeksnapoveznica"/>
                <w:vanish w:val="false"/>
              </w:rPr>
              <w:tab/>
              <w:t>14</w:t>
            </w:r>
            <w:r>
              <w:rPr>
                <w:webHidden/>
              </w:rPr>
              <w:fldChar w:fldCharType="end"/>
            </w:r>
          </w:hyperlink>
        </w:p>
        <w:p>
          <w:pPr>
            <w:pStyle w:val="Normal"/>
            <w:jc w:val="left"/>
            <w:rPr>
              <w:b/>
              <w:b/>
              <w:bCs/>
            </w:rPr>
          </w:pPr>
          <w:r>
            <w:rPr>
              <w:b/>
              <w:bCs/>
            </w:rPr>
          </w:r>
          <w:r>
            <w:rPr>
              <w:b/>
              <w:bCs/>
            </w:rPr>
            <w:fldChar w:fldCharType="end"/>
          </w:r>
        </w:p>
      </w:sdtContent>
    </w:sdt>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pPr>
      <w:r>
        <w:rPr>
          <w:b/>
          <w:bCs/>
        </w:rPr>
        <w:t>POPIS TABLICA:</w:t>
      </w:r>
    </w:p>
    <w:p>
      <w:pPr>
        <w:pStyle w:val="Tableoffigures"/>
        <w:tabs>
          <w:tab w:val="clear" w:pos="708"/>
          <w:tab w:val="right" w:pos="9062" w:leader="dot"/>
        </w:tabs>
        <w:rPr>
          <w:rFonts w:cs="Times New Roman"/>
          <w:caps w:val="false"/>
          <w:smallCaps w:val="false"/>
          <w:sz w:val="22"/>
          <w:szCs w:val="22"/>
          <w:lang w:eastAsia="hr-HR"/>
        </w:rPr>
      </w:pPr>
      <w:r>
        <w:fldChar w:fldCharType="begin"/>
      </w:r>
      <w:r>
        <w:rPr>
          <w:rStyle w:val="Indeksnapoveznica"/>
          <w:rFonts w:cs="Calibri"/>
        </w:rPr>
        <w:instrText> TOC \c "Tablica" </w:instrText>
      </w:r>
      <w:r>
        <w:rPr>
          <w:rStyle w:val="Indeksnapoveznica"/>
          <w:rFonts w:cs="Calibri"/>
        </w:rPr>
        <w:fldChar w:fldCharType="separate"/>
      </w:r>
      <w:hyperlink w:anchor="_Toc33778771">
        <w:r>
          <w:rPr>
            <w:rStyle w:val="Indeksnapoveznica"/>
            <w:rFonts w:cs="Calibri"/>
          </w:rPr>
          <w:t>Tablica 1: Prikaz gustoće naseljenosti po naseljima Općine</w:t>
        </w:r>
        <w:r>
          <w:rPr>
            <w:webHidden/>
          </w:rPr>
          <w:fldChar w:fldCharType="begin"/>
        </w:r>
        <w:r>
          <w:rPr>
            <w:webHidden/>
          </w:rPr>
          <w:instrText>PAGEREF _Toc33778771 \h</w:instrText>
        </w:r>
        <w:r>
          <w:rPr>
            <w:webHidden/>
          </w:rPr>
          <w:fldChar w:fldCharType="separate"/>
        </w:r>
        <w:r>
          <w:rPr>
            <w:rStyle w:val="Indeksnapoveznica"/>
            <w:vanish w:val="false"/>
          </w:rPr>
          <w:tab/>
          <w:t>5</w:t>
        </w:r>
        <w:r>
          <w:rPr>
            <w:webHidden/>
          </w:rPr>
          <w:fldChar w:fldCharType="end"/>
        </w:r>
      </w:hyperlink>
    </w:p>
    <w:p>
      <w:pPr>
        <w:pStyle w:val="Tableoffigures"/>
        <w:tabs>
          <w:tab w:val="clear" w:pos="708"/>
          <w:tab w:val="right" w:pos="9062" w:leader="dot"/>
        </w:tabs>
        <w:rPr>
          <w:rFonts w:cs="Times New Roman"/>
          <w:caps w:val="false"/>
          <w:smallCaps w:val="false"/>
          <w:sz w:val="22"/>
          <w:szCs w:val="22"/>
          <w:lang w:eastAsia="hr-HR"/>
        </w:rPr>
      </w:pPr>
      <w:hyperlink w:anchor="_Toc33778772">
        <w:r>
          <w:rPr>
            <w:rStyle w:val="Indeksnapoveznica"/>
            <w:rFonts w:cs="Calibri"/>
          </w:rPr>
          <w:t>Tablica 2: Pregled lokacija zelenih otoka na području Općine Kloštar Podravski</w:t>
        </w:r>
        <w:r>
          <w:rPr>
            <w:webHidden/>
          </w:rPr>
          <w:fldChar w:fldCharType="begin"/>
        </w:r>
        <w:r>
          <w:rPr>
            <w:webHidden/>
          </w:rPr>
          <w:instrText>PAGEREF _Toc33778772 \h</w:instrText>
        </w:r>
        <w:r>
          <w:rPr>
            <w:webHidden/>
          </w:rPr>
          <w:fldChar w:fldCharType="separate"/>
        </w:r>
        <w:r>
          <w:rPr>
            <w:rStyle w:val="Indeksnapoveznica"/>
            <w:vanish w:val="false"/>
          </w:rPr>
          <w:tab/>
          <w:t>8</w:t>
        </w:r>
        <w:r>
          <w:rPr>
            <w:webHidden/>
          </w:rPr>
          <w:fldChar w:fldCharType="end"/>
        </w:r>
      </w:hyperlink>
    </w:p>
    <w:p>
      <w:pPr>
        <w:pStyle w:val="Tableoffigures"/>
        <w:tabs>
          <w:tab w:val="clear" w:pos="708"/>
          <w:tab w:val="right" w:pos="9062" w:leader="dot"/>
        </w:tabs>
        <w:rPr>
          <w:rFonts w:cs="Times New Roman"/>
          <w:caps w:val="false"/>
          <w:smallCaps w:val="false"/>
          <w:sz w:val="22"/>
          <w:szCs w:val="22"/>
          <w:lang w:eastAsia="hr-HR"/>
        </w:rPr>
      </w:pPr>
      <w:hyperlink w:anchor="_Toc33778773">
        <w:r>
          <w:rPr>
            <w:rStyle w:val="Indeksnapoveznica"/>
            <w:rFonts w:cs="Calibri"/>
          </w:rPr>
          <w:t>Tablica 3: Prikaz evidencije predaje otpada na području Općine Kloštar Podravski za 2019.god.</w:t>
        </w:r>
        <w:r>
          <w:rPr>
            <w:webHidden/>
          </w:rPr>
          <w:fldChar w:fldCharType="begin"/>
        </w:r>
        <w:r>
          <w:rPr>
            <w:webHidden/>
          </w:rPr>
          <w:instrText>PAGEREF _Toc33778773 \h</w:instrText>
        </w:r>
        <w:r>
          <w:rPr>
            <w:webHidden/>
          </w:rPr>
          <w:fldChar w:fldCharType="separate"/>
        </w:r>
        <w:r>
          <w:rPr>
            <w:rStyle w:val="Indeksnapoveznica"/>
            <w:vanish w:val="false"/>
          </w:rPr>
          <w:tab/>
          <w:t>9</w:t>
        </w:r>
        <w:r>
          <w:rPr>
            <w:webHidden/>
          </w:rPr>
          <w:fldChar w:fldCharType="end"/>
        </w:r>
      </w:hyperlink>
    </w:p>
    <w:p>
      <w:pPr>
        <w:pStyle w:val="Tableoffigures"/>
        <w:tabs>
          <w:tab w:val="clear" w:pos="708"/>
          <w:tab w:val="right" w:pos="9062" w:leader="dot"/>
        </w:tabs>
        <w:rPr>
          <w:rFonts w:cs="Times New Roman"/>
          <w:caps w:val="false"/>
          <w:smallCaps w:val="false"/>
          <w:sz w:val="22"/>
          <w:szCs w:val="22"/>
          <w:lang w:eastAsia="hr-HR"/>
        </w:rPr>
      </w:pPr>
      <w:hyperlink w:anchor="_Toc33778774">
        <w:r>
          <w:rPr>
            <w:rStyle w:val="Indeksnapoveznica"/>
            <w:rFonts w:cs="Calibri"/>
          </w:rPr>
          <w:t>Tablica 4: Prikaz količina skupljenog otpada na području Općine Kloštar Podravski (t)</w:t>
        </w:r>
        <w:r>
          <w:rPr>
            <w:webHidden/>
          </w:rPr>
          <w:fldChar w:fldCharType="begin"/>
        </w:r>
        <w:r>
          <w:rPr>
            <w:webHidden/>
          </w:rPr>
          <w:instrText>PAGEREF _Toc33778774 \h</w:instrText>
        </w:r>
        <w:r>
          <w:rPr>
            <w:webHidden/>
          </w:rPr>
          <w:fldChar w:fldCharType="separate"/>
        </w:r>
        <w:r>
          <w:rPr>
            <w:rStyle w:val="Indeksnapoveznica"/>
            <w:vanish w:val="false"/>
          </w:rPr>
          <w:tab/>
          <w:t>9</w:t>
        </w:r>
        <w:r>
          <w:rPr>
            <w:webHidden/>
          </w:rPr>
          <w:fldChar w:fldCharType="end"/>
        </w:r>
      </w:hyperlink>
    </w:p>
    <w:p>
      <w:pPr>
        <w:pStyle w:val="Tableoffigures"/>
        <w:tabs>
          <w:tab w:val="clear" w:pos="708"/>
          <w:tab w:val="right" w:pos="9062" w:leader="dot"/>
        </w:tabs>
        <w:rPr>
          <w:rFonts w:cs="Times New Roman"/>
          <w:caps w:val="false"/>
          <w:smallCaps w:val="false"/>
          <w:sz w:val="22"/>
          <w:szCs w:val="22"/>
          <w:lang w:eastAsia="hr-HR"/>
        </w:rPr>
      </w:pPr>
      <w:hyperlink w:anchor="_Toc33778775">
        <w:r>
          <w:rPr>
            <w:rStyle w:val="Indeksnapoveznica"/>
            <w:rFonts w:cs="Calibri"/>
          </w:rPr>
          <w:t>Tablica 5: Cjenik javne usluge odvoza i zbrinjavanja miješanog komunalnog otpada u 2019.god.</w:t>
        </w:r>
        <w:r>
          <w:rPr>
            <w:webHidden/>
          </w:rPr>
          <w:fldChar w:fldCharType="begin"/>
        </w:r>
        <w:r>
          <w:rPr>
            <w:webHidden/>
          </w:rPr>
          <w:instrText>PAGEREF _Toc33778775 \h</w:instrText>
        </w:r>
        <w:r>
          <w:rPr>
            <w:webHidden/>
          </w:rPr>
          <w:fldChar w:fldCharType="separate"/>
        </w:r>
        <w:r>
          <w:rPr>
            <w:rStyle w:val="Indeksnapoveznica"/>
            <w:vanish w:val="false"/>
          </w:rPr>
          <w:tab/>
          <w:t>12</w:t>
        </w:r>
        <w:r>
          <w:rPr>
            <w:webHidden/>
          </w:rPr>
          <w:fldChar w:fldCharType="end"/>
        </w:r>
      </w:hyperlink>
    </w:p>
    <w:p>
      <w:pPr>
        <w:pStyle w:val="Tableoffigures"/>
        <w:tabs>
          <w:tab w:val="clear" w:pos="708"/>
          <w:tab w:val="right" w:pos="9062" w:leader="dot"/>
        </w:tabs>
        <w:rPr>
          <w:rFonts w:cs="Times New Roman"/>
          <w:caps w:val="false"/>
          <w:smallCaps w:val="false"/>
          <w:sz w:val="22"/>
          <w:szCs w:val="22"/>
          <w:lang w:eastAsia="hr-HR"/>
        </w:rPr>
      </w:pPr>
      <w:hyperlink w:anchor="_Toc33778776">
        <w:r>
          <w:rPr>
            <w:rStyle w:val="Indeksnapoveznica"/>
            <w:rFonts w:cs="Calibri"/>
          </w:rPr>
          <w:t>Tablica 6: Cjenik dodatne usluge odvoza otpada u 2019.god.</w:t>
        </w:r>
        <w:r>
          <w:rPr>
            <w:webHidden/>
          </w:rPr>
          <w:fldChar w:fldCharType="begin"/>
        </w:r>
        <w:r>
          <w:rPr>
            <w:webHidden/>
          </w:rPr>
          <w:instrText>PAGEREF _Toc33778776 \h</w:instrText>
        </w:r>
        <w:r>
          <w:rPr>
            <w:webHidden/>
          </w:rPr>
          <w:fldChar w:fldCharType="separate"/>
        </w:r>
        <w:r>
          <w:rPr>
            <w:rStyle w:val="Indeksnapoveznica"/>
            <w:vanish w:val="false"/>
          </w:rPr>
          <w:tab/>
          <w:t>12</w:t>
        </w:r>
        <w:r>
          <w:rPr>
            <w:webHidden/>
          </w:rPr>
          <w:fldChar w:fldCharType="end"/>
        </w:r>
      </w:hyperlink>
    </w:p>
    <w:p>
      <w:pPr>
        <w:pStyle w:val="Tableoffigures"/>
        <w:tabs>
          <w:tab w:val="clear" w:pos="708"/>
          <w:tab w:val="right" w:pos="9062" w:leader="dot"/>
        </w:tabs>
        <w:rPr>
          <w:rFonts w:cs="Times New Roman"/>
          <w:caps w:val="false"/>
          <w:smallCaps w:val="false"/>
          <w:sz w:val="22"/>
          <w:szCs w:val="22"/>
          <w:lang w:eastAsia="hr-HR"/>
        </w:rPr>
      </w:pPr>
      <w:hyperlink w:anchor="_Toc33778777">
        <w:r>
          <w:rPr>
            <w:rStyle w:val="Indeksnapoveznica"/>
            <w:rFonts w:cs="Calibri"/>
          </w:rPr>
          <w:t>Tablica 7: Pregled izvršenja aktivnosti po PGO - u Općine Kloštar Podravski za 2019.god.</w:t>
        </w:r>
        <w:r>
          <w:rPr>
            <w:webHidden/>
          </w:rPr>
          <w:fldChar w:fldCharType="begin"/>
        </w:r>
        <w:r>
          <w:rPr>
            <w:webHidden/>
          </w:rPr>
          <w:instrText>PAGEREF _Toc33778777 \h</w:instrText>
        </w:r>
        <w:r>
          <w:rPr>
            <w:webHidden/>
          </w:rPr>
          <w:fldChar w:fldCharType="separate"/>
        </w:r>
        <w:r>
          <w:rPr>
            <w:rStyle w:val="Indeksnapoveznica"/>
            <w:vanish w:val="false"/>
          </w:rPr>
          <w:tab/>
          <w:t>13</w:t>
        </w:r>
        <w:r>
          <w:rPr>
            <w:webHidden/>
          </w:rPr>
          <w:fldChar w:fldCharType="end"/>
        </w:r>
      </w:hyperlink>
    </w:p>
    <w:p>
      <w:pPr>
        <w:pStyle w:val="Normal"/>
        <w:jc w:val="left"/>
        <w:rPr>
          <w:b/>
          <w:b/>
          <w:bCs/>
        </w:rPr>
      </w:pPr>
      <w:r>
        <w:rPr>
          <w:b/>
          <w:bCs/>
        </w:rPr>
      </w:r>
      <w:r>
        <w:rPr>
          <w:b/>
          <w:bCs/>
        </w:rPr>
        <w:fldChar w:fldCharType="end"/>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Stilnaslova1"/>
        <w:rPr/>
      </w:pPr>
      <w:bookmarkStart w:id="0" w:name="_Toc33778740"/>
      <w:bookmarkStart w:id="1" w:name="_Toc32561106"/>
      <w:r>
        <w:rPr/>
        <w:t>1. UVOD</w:t>
      </w:r>
      <w:bookmarkEnd w:id="0"/>
      <w:bookmarkEnd w:id="1"/>
    </w:p>
    <w:p>
      <w:pPr>
        <w:pStyle w:val="Normal"/>
        <w:spacing w:before="0" w:after="0"/>
        <w:rPr/>
      </w:pPr>
      <w:r>
        <w:rPr/>
      </w:r>
    </w:p>
    <w:p>
      <w:pPr>
        <w:pStyle w:val="Normal"/>
        <w:rPr>
          <w:rFonts w:cs="Calibri"/>
          <w:szCs w:val="24"/>
        </w:rPr>
      </w:pPr>
      <w:r>
        <w:rPr>
          <w:rFonts w:cs="Calibri"/>
          <w:szCs w:val="24"/>
        </w:rPr>
        <w:t>Neodgovarajuće gospodarenje otpadom najveći je problem zaštite okoliša u Hrvatskoj. Neuređeni sustav gospodarenja otpadom negativno se odražava na sastavnice okoliša kao što su voda, zrak, more i tlo te na klimu, ljudsko zdravlje i drugi živi svijet. Osobito su ugrožene podzemne vode koje su glavni izvor zaliha pitke vode i temeljni nacionalni resurs. Potencijalno veliko štetno djelovanje može izazvati otpad (uključujući i opasni otpad) zbog mogućeg rizika za okoliš i ljudsko zdravlje.</w:t>
      </w:r>
    </w:p>
    <w:p>
      <w:pPr>
        <w:pStyle w:val="Normal"/>
        <w:rPr>
          <w:rFonts w:cs="Calibri"/>
          <w:szCs w:val="24"/>
        </w:rPr>
      </w:pPr>
      <w:r>
        <w:rPr>
          <w:rFonts w:cs="Calibri"/>
          <w:szCs w:val="24"/>
        </w:rPr>
        <w:t xml:space="preserve">Gospodarenje otpadom u Republici Hrvatskoj propisuje </w:t>
      </w:r>
      <w:r>
        <w:rPr>
          <w:rFonts w:cs="Calibri"/>
          <w:bCs/>
          <w:iCs/>
          <w:szCs w:val="24"/>
        </w:rPr>
        <w:t>Zakon o održivom gospodarenju otpadom</w:t>
      </w:r>
      <w:r>
        <w:rPr>
          <w:rFonts w:cs="Calibri"/>
          <w:szCs w:val="24"/>
        </w:rPr>
        <w:t xml:space="preserve"> („Narodne Novine“ broj 94/13, 73/17, 14/19 u daljnjem tekstu: Zakon). Zakonom se utvrđuju mjere za sprječavanje ili smanjenje štetnog djelovanja otpada na ljudsko zdravlje i okoliš na način smanjenja količina otpada u nastanku i/ili proizvodnji te se uređuje gospodarenje otpadom bez uporabe rizičnih postupaka po ljudsko zdravlje i okoliš, uz korištenje vrijednih svojstava otpada. Odredbe Zakona utvrđuju sustav gospodarenja otpadom uključujući red prvenstva gospodarenja otpadom, načela, ciljeve i način gospodarenja otpadom, strateške i programske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pPr>
        <w:pStyle w:val="Normal"/>
        <w:rPr>
          <w:rFonts w:cs="Calibri"/>
          <w:szCs w:val="24"/>
        </w:rPr>
      </w:pPr>
      <w:r>
        <w:rPr>
          <w:rFonts w:cs="Calibri"/>
          <w:szCs w:val="24"/>
        </w:rPr>
        <w:t>Jedinice lokalne samouprave (JLS) su, uz jedinice područne (regionalne) samouprave (JRS), dužne na svom području osigurati uvjete i provedbu propisanih mjera gospodarenja otpadom.</w:t>
      </w:r>
    </w:p>
    <w:p>
      <w:pPr>
        <w:pStyle w:val="Stilnaslova2"/>
        <w:rPr/>
      </w:pPr>
      <w:bookmarkStart w:id="2" w:name="_Toc33778741"/>
      <w:bookmarkStart w:id="3" w:name="_Toc32561107"/>
      <w:r>
        <w:rPr/>
        <w:t xml:space="preserve">1.1. OSNOVNE ZNAČAJKE OPĆINE </w:t>
      </w:r>
      <w:bookmarkEnd w:id="3"/>
      <w:r>
        <w:rPr/>
        <w:t>KLOŠTAR PODRAVSKI</w:t>
      </w:r>
      <w:bookmarkEnd w:id="2"/>
    </w:p>
    <w:p>
      <w:pPr>
        <w:pStyle w:val="Normal"/>
        <w:spacing w:before="0" w:after="0"/>
        <w:rPr/>
      </w:pPr>
      <w:r>
        <w:rPr/>
      </w:r>
    </w:p>
    <w:p>
      <w:pPr>
        <w:pStyle w:val="Normal"/>
        <w:rPr>
          <w:rFonts w:cs="Calibri"/>
          <w:szCs w:val="24"/>
        </w:rPr>
      </w:pPr>
      <w:r>
        <w:rPr>
          <w:rFonts w:cs="Calibri"/>
          <w:szCs w:val="24"/>
        </w:rPr>
        <w:t>Općina se nalazi u sastavu Koprivničko - križevačke županije i čini je četiri naselja: Općinsko središte Kloštar Podravski te naselja Kozarevac, Budančevica i Prugovac. Općina je smještena u jugoistočnom dijelu Koprivničko - križevačke županije i graniči s tri jedinice lokalne samouprave Koprivničko-križevačke županije: Gradom Đurđevcom te općinama Kalinovac i Podravske Sesvete, dok je dio općinske granice ujedno i županijska granica s Virovitičko - podravskom (Općina Pitomača) i Bjelovarsko-bilogorskom (Općina Velika Pisanica) županijom.</w:t>
      </w:r>
    </w:p>
    <w:p>
      <w:pPr>
        <w:pStyle w:val="Stilnaslova2"/>
        <w:rPr/>
      </w:pPr>
      <w:bookmarkStart w:id="4" w:name="_Toc33778742"/>
      <w:bookmarkStart w:id="5" w:name="_Toc32561109"/>
      <w:r>
        <w:rPr/>
        <w:t xml:space="preserve">1.2. POVRŠINA I BROJ NASELJA TE BROJ STANOVNIKA OPĆINE </w:t>
      </w:r>
      <w:bookmarkEnd w:id="5"/>
      <w:r>
        <w:rPr/>
        <w:t>KLOŠTAR PODRAVSKI</w:t>
      </w:r>
      <w:bookmarkEnd w:id="4"/>
    </w:p>
    <w:p>
      <w:pPr>
        <w:pStyle w:val="Normal"/>
        <w:spacing w:before="0" w:after="0"/>
        <w:rPr/>
      </w:pPr>
      <w:r>
        <w:rPr/>
      </w:r>
    </w:p>
    <w:p>
      <w:pPr>
        <w:pStyle w:val="Normal"/>
        <w:rPr/>
      </w:pPr>
      <w:r>
        <w:rPr/>
        <w:t>Prema posljednjem popisu stanovništva iz 2011. godine, Općina je imala 3.306 stanovnika, raspoređena u 4 naselja, što predstavlja 2,86% od ukupnog broja stanovnika Koprivničko - križevačke županije (115.584 st.).</w:t>
      </w:r>
    </w:p>
    <w:p>
      <w:pPr>
        <w:pStyle w:val="Normal"/>
        <w:rPr/>
      </w:pPr>
      <w:r>
        <w:rPr/>
        <w:t>Površina Općine iznosi 51,47 km</w:t>
      </w:r>
      <w:r>
        <w:rPr>
          <w:vertAlign w:val="superscript"/>
        </w:rPr>
        <w:t>2</w:t>
      </w:r>
      <w:r>
        <w:rPr/>
        <w:t xml:space="preserve"> ( 2,95% od ukupne površine Koprivničko - križevačke županije koja iznosi 1.748 km</w:t>
      </w:r>
      <w:r>
        <w:rPr>
          <w:vertAlign w:val="superscript"/>
        </w:rPr>
        <w:t>2</w:t>
      </w:r>
      <w:r>
        <w:rPr/>
        <w:t>). Prema popisu iz 2011. godine u Općini je živjelo 3.306 stanovnika (2,86% stanovnika Županije). To je prosječno naseljen kraj s gustoćom naseljenosti od 64,23 st./km</w:t>
      </w:r>
      <w:r>
        <w:rPr>
          <w:vertAlign w:val="superscript"/>
        </w:rPr>
        <w:t>2</w:t>
      </w:r>
      <w:r>
        <w:rPr/>
        <w:t>. Gustoća naseljenosti Općine ispod je prosjeka Županijske gustoće naseljenosti koja iznosi 66,12 st./km</w:t>
      </w:r>
      <w:r>
        <w:rPr>
          <w:vertAlign w:val="superscript"/>
        </w:rPr>
        <w:t>2</w:t>
      </w:r>
      <w:r>
        <w:rPr/>
        <w:t xml:space="preserve">. </w:t>
      </w:r>
    </w:p>
    <w:p>
      <w:pPr>
        <w:pStyle w:val="Caption"/>
        <w:jc w:val="center"/>
        <w:rPr/>
      </w:pPr>
      <w:bookmarkStart w:id="6" w:name="_Toc33778771"/>
      <w:bookmarkStart w:id="7" w:name="_Toc527969485"/>
      <w:bookmarkStart w:id="8" w:name="_Toc516128374"/>
      <w:bookmarkStart w:id="9" w:name="_Toc514240293"/>
      <w:bookmarkStart w:id="10" w:name="_Toc512434699"/>
      <w:r>
        <w:rPr/>
        <w:t xml:space="preserve">Tablica </w:t>
      </w:r>
      <w:r>
        <w:rPr/>
        <w:fldChar w:fldCharType="begin"/>
      </w:r>
      <w:r>
        <w:rPr/>
        <w:instrText> SEQ Tablica \* ARABIC </w:instrText>
      </w:r>
      <w:r>
        <w:rPr/>
        <w:fldChar w:fldCharType="separate"/>
      </w:r>
      <w:r>
        <w:rPr/>
        <w:t>1</w:t>
      </w:r>
      <w:r>
        <w:rPr/>
        <w:fldChar w:fldCharType="end"/>
      </w:r>
      <w:r>
        <w:rPr/>
        <w:t>: Prikaz gustoće naseljenosti po naseljima Općine</w:t>
      </w:r>
      <w:bookmarkEnd w:id="6"/>
      <w:bookmarkEnd w:id="7"/>
      <w:bookmarkEnd w:id="8"/>
      <w:bookmarkEnd w:id="9"/>
      <w:bookmarkEnd w:id="10"/>
    </w:p>
    <w:tbl>
      <w:tblPr>
        <w:tblW w:w="9060" w:type="dxa"/>
        <w:jc w:val="left"/>
        <w:tblInd w:w="0" w:type="dxa"/>
        <w:tblCellMar>
          <w:top w:w="0" w:type="dxa"/>
          <w:left w:w="108" w:type="dxa"/>
          <w:bottom w:w="0" w:type="dxa"/>
          <w:right w:w="108" w:type="dxa"/>
        </w:tblCellMar>
        <w:tblLook w:val="00a0"/>
      </w:tblPr>
      <w:tblGrid>
        <w:gridCol w:w="2282"/>
        <w:gridCol w:w="2382"/>
        <w:gridCol w:w="2316"/>
        <w:gridCol w:w="2079"/>
      </w:tblGrid>
      <w:tr>
        <w:trPr/>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sz w:val="20"/>
                <w:szCs w:val="20"/>
              </w:rPr>
            </w:pPr>
            <w:r>
              <w:rPr>
                <w:rFonts w:cs="Calibri"/>
                <w:b/>
                <w:sz w:val="20"/>
                <w:szCs w:val="20"/>
              </w:rPr>
              <w:t>Naselje</w:t>
            </w:r>
          </w:p>
        </w:tc>
        <w:tc>
          <w:tcPr>
            <w:tcW w:w="23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sz w:val="20"/>
                <w:szCs w:val="20"/>
              </w:rPr>
            </w:pPr>
            <w:r>
              <w:rPr>
                <w:rFonts w:cs="Calibri"/>
                <w:b/>
                <w:sz w:val="20"/>
                <w:szCs w:val="20"/>
              </w:rPr>
              <w:t>Broj stanovnika</w:t>
            </w:r>
          </w:p>
        </w:tc>
        <w:tc>
          <w:tcPr>
            <w:tcW w:w="23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sz w:val="20"/>
                <w:szCs w:val="20"/>
              </w:rPr>
            </w:pPr>
            <w:r>
              <w:rPr>
                <w:rFonts w:cs="Calibri"/>
                <w:b/>
                <w:sz w:val="20"/>
                <w:szCs w:val="20"/>
              </w:rPr>
              <w:t>Površina naselje (km</w:t>
            </w:r>
            <w:r>
              <w:rPr>
                <w:rFonts w:cs="Calibri"/>
                <w:b/>
                <w:sz w:val="20"/>
                <w:szCs w:val="20"/>
                <w:vertAlign w:val="superscript"/>
              </w:rPr>
              <w:t>2</w:t>
            </w:r>
            <w:r>
              <w:rPr>
                <w:rFonts w:cs="Calibri"/>
                <w:b/>
                <w:sz w:val="20"/>
                <w:szCs w:val="20"/>
              </w:rPr>
              <w:t>)</w:t>
            </w:r>
          </w:p>
        </w:tc>
        <w:tc>
          <w:tcPr>
            <w:tcW w:w="20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sz w:val="20"/>
                <w:szCs w:val="20"/>
              </w:rPr>
            </w:pPr>
            <w:r>
              <w:rPr>
                <w:rFonts w:cs="Calibri"/>
                <w:b/>
                <w:sz w:val="20"/>
                <w:szCs w:val="20"/>
              </w:rPr>
              <w:t>Gustoća naseljenosti (st./km</w:t>
            </w:r>
            <w:r>
              <w:rPr>
                <w:rFonts w:cs="Calibri"/>
                <w:b/>
                <w:sz w:val="20"/>
                <w:szCs w:val="20"/>
                <w:vertAlign w:val="superscript"/>
              </w:rPr>
              <w:t>2</w:t>
            </w:r>
            <w:r>
              <w:rPr>
                <w:rFonts w:cs="Calibri"/>
                <w:b/>
                <w:sz w:val="20"/>
                <w:szCs w:val="20"/>
              </w:rPr>
              <w:t>)</w:t>
            </w:r>
          </w:p>
        </w:tc>
      </w:tr>
      <w:tr>
        <w:trPr/>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left"/>
              <w:rPr>
                <w:sz w:val="20"/>
                <w:szCs w:val="20"/>
              </w:rPr>
            </w:pPr>
            <w:r>
              <w:rPr>
                <w:sz w:val="20"/>
                <w:szCs w:val="20"/>
              </w:rPr>
              <w:t>Budančevica</w:t>
            </w:r>
          </w:p>
        </w:tc>
        <w:tc>
          <w:tcPr>
            <w:tcW w:w="23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sz w:val="20"/>
                <w:szCs w:val="20"/>
              </w:rPr>
            </w:pPr>
            <w:r>
              <w:rPr>
                <w:sz w:val="20"/>
                <w:szCs w:val="20"/>
              </w:rPr>
              <w:t>527</w:t>
            </w:r>
          </w:p>
        </w:tc>
        <w:tc>
          <w:tcPr>
            <w:tcW w:w="23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3,78</w:t>
            </w:r>
          </w:p>
        </w:tc>
        <w:tc>
          <w:tcPr>
            <w:tcW w:w="20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139,42</w:t>
            </w:r>
          </w:p>
        </w:tc>
      </w:tr>
      <w:tr>
        <w:trPr/>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left"/>
              <w:rPr>
                <w:sz w:val="20"/>
                <w:szCs w:val="20"/>
              </w:rPr>
            </w:pPr>
            <w:r>
              <w:rPr>
                <w:sz w:val="20"/>
                <w:szCs w:val="20"/>
              </w:rPr>
              <w:t>Kloštar Podravski</w:t>
            </w:r>
          </w:p>
        </w:tc>
        <w:tc>
          <w:tcPr>
            <w:tcW w:w="23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sz w:val="20"/>
                <w:szCs w:val="20"/>
              </w:rPr>
            </w:pPr>
            <w:r>
              <w:rPr>
                <w:sz w:val="20"/>
                <w:szCs w:val="20"/>
              </w:rPr>
              <w:t>1.532</w:t>
            </w:r>
          </w:p>
        </w:tc>
        <w:tc>
          <w:tcPr>
            <w:tcW w:w="23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17,6</w:t>
            </w:r>
          </w:p>
        </w:tc>
        <w:tc>
          <w:tcPr>
            <w:tcW w:w="20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87,05</w:t>
            </w:r>
          </w:p>
        </w:tc>
      </w:tr>
      <w:tr>
        <w:trPr/>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left"/>
              <w:rPr>
                <w:sz w:val="20"/>
                <w:szCs w:val="20"/>
              </w:rPr>
            </w:pPr>
            <w:r>
              <w:rPr>
                <w:sz w:val="20"/>
                <w:szCs w:val="20"/>
              </w:rPr>
              <w:t>Kozarevac</w:t>
            </w:r>
          </w:p>
        </w:tc>
        <w:tc>
          <w:tcPr>
            <w:tcW w:w="23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sz w:val="20"/>
                <w:szCs w:val="20"/>
              </w:rPr>
            </w:pPr>
            <w:r>
              <w:rPr>
                <w:sz w:val="20"/>
                <w:szCs w:val="20"/>
              </w:rPr>
              <w:t>560</w:t>
            </w:r>
          </w:p>
        </w:tc>
        <w:tc>
          <w:tcPr>
            <w:tcW w:w="23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17,4</w:t>
            </w:r>
          </w:p>
        </w:tc>
        <w:tc>
          <w:tcPr>
            <w:tcW w:w="20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32,18</w:t>
            </w:r>
          </w:p>
        </w:tc>
      </w:tr>
      <w:tr>
        <w:trPr/>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left"/>
              <w:rPr>
                <w:sz w:val="20"/>
                <w:szCs w:val="20"/>
              </w:rPr>
            </w:pPr>
            <w:r>
              <w:rPr>
                <w:sz w:val="20"/>
                <w:szCs w:val="20"/>
              </w:rPr>
              <w:t>Prugovac</w:t>
            </w:r>
          </w:p>
        </w:tc>
        <w:tc>
          <w:tcPr>
            <w:tcW w:w="23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sz w:val="20"/>
                <w:szCs w:val="20"/>
              </w:rPr>
            </w:pPr>
            <w:r>
              <w:rPr>
                <w:sz w:val="20"/>
                <w:szCs w:val="20"/>
              </w:rPr>
              <w:t>687</w:t>
            </w:r>
          </w:p>
        </w:tc>
        <w:tc>
          <w:tcPr>
            <w:tcW w:w="23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12,21</w:t>
            </w:r>
          </w:p>
        </w:tc>
        <w:tc>
          <w:tcPr>
            <w:tcW w:w="20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56,27</w:t>
            </w:r>
          </w:p>
        </w:tc>
      </w:tr>
    </w:tbl>
    <w:p>
      <w:pPr>
        <w:pStyle w:val="Normal"/>
        <w:rPr/>
      </w:pPr>
      <w:r>
        <w:rPr/>
      </w:r>
    </w:p>
    <w:p>
      <w:pPr>
        <w:pStyle w:val="Stilnaslova2"/>
        <w:rPr/>
      </w:pPr>
      <w:bookmarkStart w:id="11" w:name="_Toc33778743"/>
      <w:bookmarkStart w:id="12" w:name="_Toc32561110"/>
      <w:r>
        <w:rPr/>
        <w:t xml:space="preserve">1.3. KOMUNALNA DJELATNOST NA PODRUČJU OPĆINE </w:t>
      </w:r>
      <w:bookmarkEnd w:id="12"/>
      <w:r>
        <w:rPr/>
        <w:t>KLOŠTAR PODRAVSKI</w:t>
      </w:r>
      <w:bookmarkEnd w:id="11"/>
    </w:p>
    <w:p>
      <w:pPr>
        <w:pStyle w:val="Normal"/>
        <w:spacing w:before="0" w:after="0"/>
        <w:rPr/>
      </w:pPr>
      <w:r>
        <w:rPr/>
      </w:r>
    </w:p>
    <w:p>
      <w:pPr>
        <w:pStyle w:val="Normal"/>
        <w:rPr>
          <w:rFonts w:ascii="CIDFont+F1" w:hAnsi="CIDFont+F1" w:cs="CIDFont+F1"/>
          <w:szCs w:val="24"/>
        </w:rPr>
      </w:pPr>
      <w:r>
        <w:rPr>
          <w:rFonts w:cs="CIDFont+F1" w:ascii="CIDFont+F1" w:hAnsi="CIDFont+F1"/>
          <w:szCs w:val="24"/>
        </w:rPr>
        <w:t xml:space="preserve">Na području Općine Kloštar Podravski, javnu uslugu prikupljanja miješanog komunalnog otpada i biorazgradivog komunalnog otpada obavlja tvrtka Drava Kom d.o.o., Trg bana Jelačića 7, 48 000 Koprivnica.  </w:t>
      </w:r>
    </w:p>
    <w:p>
      <w:pPr>
        <w:pStyle w:val="Stilnaslova1"/>
        <w:spacing w:before="0" w:after="0"/>
        <w:rPr/>
      </w:pPr>
      <w:bookmarkStart w:id="13" w:name="_Toc33778744"/>
      <w:bookmarkStart w:id="14" w:name="_Toc32561113"/>
      <w:r>
        <w:rPr/>
        <w:t>2. OBAVEZE JEDINICE LOKALNE SAMOUPRAVE</w:t>
      </w:r>
      <w:bookmarkEnd w:id="13"/>
      <w:bookmarkEnd w:id="14"/>
      <w:r>
        <w:rPr/>
        <w:t xml:space="preserve"> </w:t>
      </w:r>
    </w:p>
    <w:p>
      <w:pPr>
        <w:pStyle w:val="Normal"/>
        <w:spacing w:before="0" w:after="0"/>
        <w:rPr>
          <w:rFonts w:cs="Calibri"/>
          <w:szCs w:val="24"/>
        </w:rPr>
      </w:pPr>
      <w:r>
        <w:rPr>
          <w:rFonts w:cs="Calibri"/>
          <w:szCs w:val="24"/>
        </w:rPr>
      </w:r>
    </w:p>
    <w:p>
      <w:pPr>
        <w:pStyle w:val="Normal"/>
        <w:spacing w:before="0" w:after="0"/>
        <w:rPr>
          <w:rFonts w:cs="Calibri"/>
          <w:szCs w:val="24"/>
          <w:lang w:eastAsia="hr-HR"/>
        </w:rPr>
      </w:pPr>
      <w:r>
        <w:rPr>
          <w:rFonts w:cs="Calibri"/>
          <w:szCs w:val="24"/>
          <w:lang w:eastAsia="hr-HR"/>
        </w:rPr>
        <w:t>Jedinica lokalne samouprave dužna je na svom području osigurati:</w:t>
      </w:r>
    </w:p>
    <w:p>
      <w:pPr>
        <w:pStyle w:val="Normal"/>
        <w:numPr>
          <w:ilvl w:val="0"/>
          <w:numId w:val="1"/>
        </w:numPr>
        <w:spacing w:before="0" w:after="0"/>
        <w:rPr>
          <w:rFonts w:cs="Calibri"/>
          <w:szCs w:val="24"/>
          <w:lang w:eastAsia="hr-HR"/>
        </w:rPr>
      </w:pPr>
      <w:r>
        <w:rPr>
          <w:rFonts w:cs="Calibri"/>
          <w:szCs w:val="24"/>
          <w:lang w:eastAsia="hr-HR"/>
        </w:rPr>
        <w:t>javnu uslugu prikupljanja miješanog komunalnog otpada, i biorazgradivog komunalnog otpada,</w:t>
      </w:r>
    </w:p>
    <w:p>
      <w:pPr>
        <w:pStyle w:val="Normal"/>
        <w:numPr>
          <w:ilvl w:val="0"/>
          <w:numId w:val="1"/>
        </w:numPr>
        <w:spacing w:before="0" w:after="0"/>
        <w:rPr>
          <w:rFonts w:cs="Calibri"/>
          <w:szCs w:val="24"/>
          <w:lang w:eastAsia="hr-HR"/>
        </w:rPr>
      </w:pPr>
      <w:r>
        <w:rPr>
          <w:rFonts w:cs="Calibri"/>
          <w:szCs w:val="24"/>
          <w:lang w:eastAsia="hr-HR"/>
        </w:rPr>
        <w:t>odvojeno prikupljanje otpadnog papira, metala, stakla, plastike i tekstila te krupnog (glomaznog) komunalnog otpada,</w:t>
      </w:r>
    </w:p>
    <w:p>
      <w:pPr>
        <w:pStyle w:val="Normal"/>
        <w:numPr>
          <w:ilvl w:val="0"/>
          <w:numId w:val="1"/>
        </w:numPr>
        <w:spacing w:before="0" w:after="0"/>
        <w:rPr>
          <w:rFonts w:cs="Calibri"/>
          <w:szCs w:val="24"/>
          <w:lang w:eastAsia="hr-HR"/>
        </w:rPr>
      </w:pPr>
      <w:r>
        <w:rPr>
          <w:rFonts w:cs="Calibri"/>
          <w:szCs w:val="24"/>
          <w:lang w:eastAsia="hr-HR"/>
        </w:rPr>
        <w:t>sprječavanje odbacivanja otpada na način suprotan ovom Zakonu te uklanjanje tako odbačenog otpada,</w:t>
      </w:r>
    </w:p>
    <w:p>
      <w:pPr>
        <w:pStyle w:val="Normal"/>
        <w:numPr>
          <w:ilvl w:val="0"/>
          <w:numId w:val="1"/>
        </w:numPr>
        <w:spacing w:before="0" w:after="0"/>
        <w:rPr>
          <w:rFonts w:cs="Calibri"/>
          <w:szCs w:val="24"/>
          <w:lang w:eastAsia="hr-HR"/>
        </w:rPr>
      </w:pPr>
      <w:r>
        <w:rPr>
          <w:rFonts w:cs="Calibri"/>
          <w:szCs w:val="24"/>
          <w:lang w:eastAsia="hr-HR"/>
        </w:rPr>
        <w:t>provedbu Plana,</w:t>
      </w:r>
    </w:p>
    <w:p>
      <w:pPr>
        <w:pStyle w:val="Normal"/>
        <w:numPr>
          <w:ilvl w:val="0"/>
          <w:numId w:val="1"/>
        </w:numPr>
        <w:spacing w:before="0" w:after="0"/>
        <w:rPr>
          <w:rFonts w:cs="Calibri"/>
          <w:szCs w:val="24"/>
          <w:lang w:eastAsia="hr-HR"/>
        </w:rPr>
      </w:pPr>
      <w:r>
        <w:rPr>
          <w:rFonts w:cs="Calibri"/>
          <w:szCs w:val="24"/>
          <w:lang w:eastAsia="hr-HR"/>
        </w:rPr>
        <w:t>donošenje i provedbu Plana gospodarenja otpadom jedinice lokalne samouprave,</w:t>
      </w:r>
    </w:p>
    <w:p>
      <w:pPr>
        <w:pStyle w:val="Normal"/>
        <w:numPr>
          <w:ilvl w:val="0"/>
          <w:numId w:val="1"/>
        </w:numPr>
        <w:spacing w:before="0" w:after="0"/>
        <w:rPr>
          <w:rFonts w:cs="Calibri"/>
          <w:szCs w:val="24"/>
          <w:lang w:eastAsia="hr-HR"/>
        </w:rPr>
      </w:pPr>
      <w:r>
        <w:rPr>
          <w:rFonts w:cs="Calibri"/>
          <w:szCs w:val="24"/>
          <w:lang w:eastAsia="hr-HR"/>
        </w:rPr>
        <w:t xml:space="preserve">provođenje izobrazno-informativnih aktivnosti na svom području, </w:t>
      </w:r>
    </w:p>
    <w:p>
      <w:pPr>
        <w:pStyle w:val="Normal"/>
        <w:numPr>
          <w:ilvl w:val="0"/>
          <w:numId w:val="1"/>
        </w:numPr>
        <w:spacing w:before="0" w:after="0"/>
        <w:rPr>
          <w:rFonts w:cs="Calibri"/>
          <w:szCs w:val="24"/>
          <w:lang w:eastAsia="hr-HR"/>
        </w:rPr>
      </w:pPr>
      <w:r>
        <w:rPr>
          <w:rFonts w:cs="Calibri"/>
          <w:szCs w:val="24"/>
          <w:lang w:eastAsia="hr-HR"/>
        </w:rPr>
        <w:t>mogućnost provedbe akcija prikupljanja otpada.</w:t>
      </w:r>
    </w:p>
    <w:p>
      <w:pPr>
        <w:pStyle w:val="Normal"/>
        <w:spacing w:before="0" w:after="0"/>
        <w:ind w:left="1490" w:hanging="0"/>
        <w:rPr>
          <w:rFonts w:cs="Calibri"/>
          <w:szCs w:val="24"/>
          <w:lang w:eastAsia="hr-HR"/>
        </w:rPr>
      </w:pPr>
      <w:r>
        <w:rPr>
          <w:rFonts w:cs="Calibri"/>
          <w:szCs w:val="24"/>
          <w:lang w:eastAsia="hr-HR"/>
        </w:rPr>
      </w:r>
    </w:p>
    <w:p>
      <w:pPr>
        <w:pStyle w:val="Normal"/>
        <w:spacing w:before="0" w:after="0"/>
        <w:rPr>
          <w:rFonts w:cs="Calibri"/>
          <w:szCs w:val="24"/>
          <w:lang w:eastAsia="hr-HR"/>
        </w:rPr>
      </w:pPr>
      <w:r>
        <w:rPr>
          <w:rFonts w:cs="Calibri"/>
          <w:szCs w:val="24"/>
          <w:lang w:eastAsia="hr-HR"/>
        </w:rPr>
        <w:t>Više jedinica lokalne samouprave mogu sporazumno osigurati zajedničko ispunjenje jedne ili više obveza te su dužne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pPr>
        <w:pStyle w:val="Normal"/>
        <w:spacing w:before="0" w:after="0"/>
        <w:rPr>
          <w:rFonts w:cs="Calibri"/>
          <w:szCs w:val="24"/>
          <w:lang w:eastAsia="hr-HR"/>
        </w:rPr>
      </w:pPr>
      <w:r>
        <w:rPr>
          <w:rFonts w:cs="Calibri"/>
          <w:szCs w:val="24"/>
          <w:lang w:eastAsia="hr-HR"/>
        </w:rPr>
      </w:r>
    </w:p>
    <w:p>
      <w:pPr>
        <w:pStyle w:val="Normal"/>
        <w:rPr>
          <w:rFonts w:cs="Calibri"/>
          <w:szCs w:val="24"/>
        </w:rPr>
      </w:pPr>
      <w:r>
        <w:rPr>
          <w:rFonts w:cs="Calibri"/>
          <w:szCs w:val="24"/>
        </w:rPr>
        <w:t>Izvršno tijelo jedinice lokalne samouprave dužno je dostaviti godišnje izvješće o provedbi Plana za prethodnu kalendarsku godinu jedinici područne (regionalne) samouprave i objaviti ga u svom službenom glasilu do 31. ožujka tekuće godine.</w:t>
      </w:r>
    </w:p>
    <w:p>
      <w:pPr>
        <w:pStyle w:val="Stilnaslova1"/>
        <w:spacing w:before="0" w:after="0"/>
        <w:rPr/>
      </w:pPr>
      <w:bookmarkStart w:id="15" w:name="_Toc33778745"/>
      <w:bookmarkStart w:id="16" w:name="_Toc32561114"/>
      <w:r>
        <w:rPr/>
        <w:t>3. DOKUMENTI PROSTORNOG UREĐENJA</w:t>
      </w:r>
      <w:bookmarkEnd w:id="15"/>
      <w:bookmarkEnd w:id="16"/>
    </w:p>
    <w:p>
      <w:pPr>
        <w:pStyle w:val="Normal"/>
        <w:spacing w:before="0" w:after="0"/>
        <w:rPr/>
      </w:pPr>
      <w:r>
        <w:rPr/>
      </w:r>
    </w:p>
    <w:p>
      <w:pPr>
        <w:pStyle w:val="Normal"/>
        <w:rPr/>
      </w:pPr>
      <w:r>
        <w:rPr/>
        <w:t>Prostornim planom uređenja Općine Kloštar Podravski („Službeni glasnik Koprivničko – križevačke županije“ broj 1/17), a sukladno zakonskim odredbama, na području Općine omogućuje se gradnja građevina za gospodarenje otpadom od lokalnog značaja: reciklažnih dvorišta, reciklažnih dvorišta za građevni otpad, sortirnica, skladišta neopasnog i opasnog otpada, pogona za obradu otpada, pogona za oporabu otpada i slično. Gradnja građevina za gospodarenje otpadom od lokalnog značaja dozvoljena je na izdvojenim građevinskim područjima izvan naselja gospodarske namjene, proizvodne i poslovne (I) i (K).</w:t>
      </w:r>
    </w:p>
    <w:p>
      <w:pPr>
        <w:pStyle w:val="Normal"/>
        <w:rPr/>
      </w:pPr>
      <w:r>
        <w:rPr/>
        <w:t>Za komunalni otpad biljnog porijekla moguće je odrediti zajedničko kompostište unutar poljoprivredno - gospodarskih zona ili na građevnim česticama izdvojenih poljoprivrednih gospodarstava, prema uvjetima posebnih propisa. Komunalni otpad biljnog porijekla moguće je individualno kompostirati na dvorištima u stambenim zonama naselja, tako da kompostište bude smješteno u zoni gradnje pomoćnih građevina s izvorom zagađenja</w:t>
      </w:r>
    </w:p>
    <w:p>
      <w:pPr>
        <w:pStyle w:val="Normal"/>
        <w:spacing w:before="0" w:after="0"/>
        <w:rPr/>
      </w:pPr>
      <w:r>
        <w:rPr/>
        <w:t>Sukladno Prostornom planu uređenja Općine Kloštar Podravski, na lokaciji Poduzetničke zone „Zapad“ u naselju Budančevica planirano je, osigurati funkcioniranje reciklažnog dvorišta, a u naseljima u kojima se reciklažno dvorište ne nalazi, osigurati funkcioniranje istog posredstvom mobilne jedinice koja se u smislu zakonske regulative smatra reciklažnim dvorištem.</w:t>
      </w:r>
    </w:p>
    <w:p>
      <w:pPr>
        <w:pStyle w:val="Normal"/>
        <w:spacing w:before="0" w:after="0"/>
        <w:rPr/>
      </w:pPr>
      <w:r>
        <w:rPr/>
      </w:r>
    </w:p>
    <w:p>
      <w:pPr>
        <w:pStyle w:val="Normal"/>
        <w:spacing w:before="0" w:after="0"/>
        <w:rPr/>
      </w:pPr>
      <w:r>
        <w:rPr/>
        <w:t>Na lokaciji Poduzetničke zone „Zapad“ u naselju Budančevica planirana je lokacija za reciklažno dvorište za građevni otpad namijenjeno razvrstavanju, mehaničkoj obradi i privremenom skladištenju građevnog otpada s područja Općine, koje se može planirati i na ostalim izdvojenim građevinskim područjima izvan naselja gospodarske namjene, proizvodne i poslovne (I) i (K). Zbrinjavanje azbestnog otpada obavljat će se odlaganjem u kazetu za zbrinjavanje azbestnog otpada u sklopu odlagališta otpada sukladno posebnom propisu koji uređuje odlaganje otpada.</w:t>
      </w:r>
    </w:p>
    <w:p>
      <w:pPr>
        <w:pStyle w:val="Normal"/>
        <w:spacing w:before="0" w:after="0"/>
        <w:rPr/>
      </w:pPr>
      <w:r>
        <w:rPr/>
        <w:t>Na lokaciji Poduzetničke zone „Zapad“ u naselju Budančevica planirana je izgradnja kompostane (KO), u sklopu koje je planirano sakupljanje biorazgradivog komunalnog otpada, biootpada te biljnog otpada iz poljoprivrede i šumarstva.</w:t>
      </w:r>
    </w:p>
    <w:p>
      <w:pPr>
        <w:pStyle w:val="Normal"/>
        <w:spacing w:before="0" w:after="0"/>
        <w:rPr/>
      </w:pPr>
      <w:r>
        <w:rPr/>
      </w:r>
    </w:p>
    <w:p>
      <w:pPr>
        <w:pStyle w:val="Normal"/>
        <w:spacing w:before="0" w:after="0"/>
        <w:rPr/>
      </w:pPr>
      <w:r>
        <w:rPr/>
        <w:t xml:space="preserve">Na lokaciji Poduzetničke zone „Zapad“ u naselju Budančevica planirana je lokacija za odlaganje viška iskopa (VI). </w:t>
      </w:r>
    </w:p>
    <w:p>
      <w:pPr>
        <w:pStyle w:val="Normal"/>
        <w:spacing w:before="0" w:after="0"/>
        <w:rPr/>
      </w:pPr>
      <w:r>
        <w:rPr/>
      </w:r>
    </w:p>
    <w:p>
      <w:pPr>
        <w:pStyle w:val="Stilnaslova1"/>
        <w:spacing w:before="0" w:after="0"/>
        <w:rPr/>
      </w:pPr>
      <w:bookmarkStart w:id="17" w:name="_Toc33778746"/>
      <w:bookmarkStart w:id="18" w:name="_Toc32561115"/>
      <w:r>
        <w:rPr/>
        <w:t xml:space="preserve">4. PLAN GOSPODARENJA OTPADOM OPĆINE </w:t>
      </w:r>
      <w:bookmarkEnd w:id="18"/>
      <w:r>
        <w:rPr/>
        <w:t>KLOŠTAR PODRAVSKI</w:t>
      </w:r>
      <w:bookmarkEnd w:id="17"/>
    </w:p>
    <w:p>
      <w:pPr>
        <w:pStyle w:val="Normal"/>
        <w:spacing w:before="0" w:after="0"/>
        <w:rPr/>
      </w:pPr>
      <w:r>
        <w:rPr/>
      </w:r>
    </w:p>
    <w:p>
      <w:pPr>
        <w:pStyle w:val="Normal"/>
        <w:rPr/>
      </w:pPr>
      <w:r>
        <w:rPr/>
        <w:t xml:space="preserve">Na temelju članka 21. stavka 4. Zakona o održivom gospodarenju otpadom („Narodne Novine“, broj 94/13, 73/17) i članka 32. Statuta Općine Kloštar Podravski („Službeni glasnik Koprivničko – križevačke županije“, broj 6/13), a uz prethodnu suglasnost Upravnog odjela za prostorno uređenje, gradnju, zaštitu okoliša i zaštitu prirode Koprivničko – križevačke županije, KLASA: 351-03/18-01/22, URBROJ: 2137/1-05/05-18-06, od 26. ožujka 2018.god., Općinsko vijeće Općine Kloštar Podravski na 10. sjednici održanoj 28. ožujka 2018.god. donijelo je Plan gospodarenja otpadom Općine Kloštar Podravski za razdoblje 2018. – 2023.god. (Zaključak o usvajanju Plana gospodarenja otpadom Općine Kloštar Podravski za razdoblje od 2018. – 2023.god., KLASA: 351-01/18-01/03, URBROJ: 2137/16-18-20, „Službeni glasnik Koprivničko – križevačke županije“ broj 6/18). </w:t>
      </w:r>
    </w:p>
    <w:p>
      <w:pPr>
        <w:pStyle w:val="Stilnaslova2"/>
        <w:rPr/>
      </w:pPr>
      <w:bookmarkStart w:id="19" w:name="_Toc33778747"/>
      <w:bookmarkStart w:id="20" w:name="_Toc32561116"/>
      <w:r>
        <w:rPr/>
        <w:t>4.1. CILJEVI I MJERE IZ PLANA GOSPODARENJA OTPADOM OPĆINE</w:t>
      </w:r>
      <w:bookmarkEnd w:id="19"/>
      <w:bookmarkEnd w:id="20"/>
      <w:r>
        <w:rPr/>
        <w:t xml:space="preserve"> </w:t>
      </w:r>
    </w:p>
    <w:p>
      <w:pPr>
        <w:pStyle w:val="Normal"/>
        <w:spacing w:before="0" w:after="0"/>
        <w:rPr/>
      </w:pPr>
      <w:r>
        <w:rPr/>
      </w:r>
    </w:p>
    <w:p>
      <w:pPr>
        <w:pStyle w:val="ListParagraph"/>
        <w:numPr>
          <w:ilvl w:val="0"/>
          <w:numId w:val="4"/>
        </w:numPr>
        <w:jc w:val="both"/>
        <w:rPr>
          <w:b/>
          <w:b/>
          <w:bCs/>
          <w:sz w:val="24"/>
          <w:szCs w:val="24"/>
        </w:rPr>
      </w:pPr>
      <w:r>
        <w:rPr>
          <w:b/>
          <w:bCs/>
          <w:sz w:val="24"/>
          <w:szCs w:val="24"/>
        </w:rPr>
        <w:t>Osnovni ciljevi zakonskih i planskih dokumenata gospodarenja otpadom</w:t>
      </w:r>
    </w:p>
    <w:p>
      <w:pPr>
        <w:pStyle w:val="ListParagraph"/>
        <w:jc w:val="both"/>
        <w:rPr>
          <w:b/>
          <w:b/>
          <w:bCs/>
          <w:sz w:val="24"/>
          <w:szCs w:val="24"/>
        </w:rPr>
      </w:pPr>
      <w:r>
        <w:rPr>
          <w:b/>
          <w:bCs/>
          <w:sz w:val="24"/>
          <w:szCs w:val="24"/>
        </w:rPr>
      </w:r>
    </w:p>
    <w:p>
      <w:pPr>
        <w:pStyle w:val="ListParagraph"/>
        <w:numPr>
          <w:ilvl w:val="0"/>
          <w:numId w:val="5"/>
        </w:numPr>
        <w:spacing w:before="0" w:after="0"/>
        <w:contextualSpacing/>
        <w:jc w:val="both"/>
        <w:rPr>
          <w:rFonts w:eastAsia="CIDFont+F2" w:cs="Calibri"/>
          <w:sz w:val="24"/>
          <w:szCs w:val="24"/>
        </w:rPr>
      </w:pPr>
      <w:r>
        <w:rPr>
          <w:rFonts w:eastAsia="CIDFont+F2" w:cs="Calibri"/>
          <w:sz w:val="24"/>
          <w:szCs w:val="24"/>
        </w:rPr>
        <w:t>sprječavanje nastanka otpada, smanjivanje količine otpada i njegovog štetnog utjecaja na okoliš,</w:t>
      </w:r>
    </w:p>
    <w:p>
      <w:pPr>
        <w:pStyle w:val="ListParagraph"/>
        <w:numPr>
          <w:ilvl w:val="0"/>
          <w:numId w:val="5"/>
        </w:numPr>
        <w:spacing w:before="0" w:after="0"/>
        <w:contextualSpacing/>
        <w:jc w:val="both"/>
        <w:rPr>
          <w:rFonts w:eastAsia="CIDFont+F2" w:cs="Calibri"/>
          <w:sz w:val="24"/>
          <w:szCs w:val="24"/>
        </w:rPr>
      </w:pPr>
      <w:r>
        <w:rPr>
          <w:rFonts w:eastAsia="CIDFont+F2" w:cs="Calibri"/>
          <w:sz w:val="24"/>
          <w:szCs w:val="24"/>
        </w:rPr>
        <w:t>obavljanje sakupljanja, prijevoza, oporabe, zbrinjavanja i drugih djelatnosti u svezi s otpadom, te nadzor nad obavljanjem tih djelatnosti,</w:t>
      </w:r>
    </w:p>
    <w:p>
      <w:pPr>
        <w:pStyle w:val="ListParagraph"/>
        <w:numPr>
          <w:ilvl w:val="0"/>
          <w:numId w:val="5"/>
        </w:numPr>
        <w:jc w:val="both"/>
        <w:rPr>
          <w:rFonts w:cs="Calibri"/>
          <w:sz w:val="24"/>
          <w:szCs w:val="24"/>
        </w:rPr>
      </w:pPr>
      <w:r>
        <w:rPr>
          <w:rFonts w:eastAsia="CIDFont+F2" w:cs="Calibri"/>
          <w:sz w:val="24"/>
          <w:szCs w:val="24"/>
        </w:rPr>
        <w:t>skrb za odlagališta koja su zatvorena.</w:t>
      </w:r>
    </w:p>
    <w:p>
      <w:pPr>
        <w:pStyle w:val="ListParagraph"/>
        <w:jc w:val="both"/>
        <w:rPr>
          <w:rFonts w:cs="Calibri"/>
          <w:sz w:val="24"/>
          <w:szCs w:val="24"/>
        </w:rPr>
      </w:pPr>
      <w:r>
        <w:rPr>
          <w:rFonts w:cs="Calibri"/>
          <w:sz w:val="24"/>
          <w:szCs w:val="24"/>
        </w:rPr>
      </w:r>
    </w:p>
    <w:p>
      <w:pPr>
        <w:pStyle w:val="ListParagraph"/>
        <w:numPr>
          <w:ilvl w:val="0"/>
          <w:numId w:val="4"/>
        </w:numPr>
        <w:rPr>
          <w:rFonts w:cs="Calibri"/>
          <w:b/>
          <w:b/>
          <w:bCs/>
          <w:sz w:val="24"/>
          <w:szCs w:val="24"/>
        </w:rPr>
      </w:pPr>
      <w:r>
        <w:rPr>
          <w:rFonts w:cs="Calibri"/>
          <w:b/>
          <w:bCs/>
          <w:sz w:val="24"/>
          <w:szCs w:val="24"/>
        </w:rPr>
        <w:t>Mjere potrebne za ostvarenje ciljeva plana gospodarenja otpadom</w:t>
      </w:r>
    </w:p>
    <w:p>
      <w:pPr>
        <w:pStyle w:val="ListParagraph"/>
        <w:rPr>
          <w:rFonts w:cs="Calibri"/>
          <w:b/>
          <w:b/>
          <w:bCs/>
          <w:sz w:val="24"/>
          <w:szCs w:val="24"/>
        </w:rPr>
      </w:pPr>
      <w:r>
        <w:rPr>
          <w:rFonts w:cs="Calibri"/>
          <w:b/>
          <w:bCs/>
          <w:sz w:val="24"/>
          <w:szCs w:val="24"/>
        </w:rPr>
      </w:r>
    </w:p>
    <w:p>
      <w:pPr>
        <w:pStyle w:val="ListParagraph"/>
        <w:numPr>
          <w:ilvl w:val="0"/>
          <w:numId w:val="6"/>
        </w:numPr>
        <w:jc w:val="both"/>
        <w:rPr>
          <w:rFonts w:cs="Calibri"/>
          <w:sz w:val="24"/>
          <w:szCs w:val="24"/>
        </w:rPr>
      </w:pPr>
      <w:r>
        <w:rPr>
          <w:rFonts w:cs="Calibri"/>
          <w:sz w:val="24"/>
          <w:szCs w:val="24"/>
        </w:rPr>
        <w:t>provedbu mjera odvojenog sakupljanja otpada i uspostava reciklažnog dvorišta</w:t>
      </w:r>
    </w:p>
    <w:p>
      <w:pPr>
        <w:pStyle w:val="ListParagraph"/>
        <w:numPr>
          <w:ilvl w:val="0"/>
          <w:numId w:val="6"/>
        </w:numPr>
        <w:jc w:val="both"/>
        <w:rPr>
          <w:rFonts w:cs="Calibri"/>
          <w:sz w:val="24"/>
          <w:szCs w:val="24"/>
        </w:rPr>
      </w:pPr>
      <w:r>
        <w:rPr>
          <w:rFonts w:cs="Calibri"/>
          <w:sz w:val="24"/>
          <w:szCs w:val="24"/>
        </w:rPr>
        <w:t>edukaciju i jačanje svijesti građana</w:t>
      </w:r>
    </w:p>
    <w:p>
      <w:pPr>
        <w:pStyle w:val="ListParagraph"/>
        <w:numPr>
          <w:ilvl w:val="0"/>
          <w:numId w:val="6"/>
        </w:numPr>
        <w:jc w:val="both"/>
        <w:rPr>
          <w:rFonts w:cs="Calibri"/>
          <w:sz w:val="24"/>
          <w:szCs w:val="24"/>
        </w:rPr>
      </w:pPr>
      <w:r>
        <w:rPr>
          <w:rFonts w:cs="Calibri"/>
          <w:sz w:val="24"/>
          <w:szCs w:val="24"/>
        </w:rPr>
        <w:t>saniranje lokacija onečišćenih otpadom</w:t>
      </w:r>
    </w:p>
    <w:p>
      <w:pPr>
        <w:pStyle w:val="ListParagraph"/>
        <w:numPr>
          <w:ilvl w:val="0"/>
          <w:numId w:val="6"/>
        </w:numPr>
        <w:jc w:val="both"/>
        <w:rPr>
          <w:rFonts w:cs="Calibri"/>
          <w:sz w:val="24"/>
          <w:szCs w:val="24"/>
        </w:rPr>
      </w:pPr>
      <w:r>
        <w:rPr>
          <w:rFonts w:cs="Calibri"/>
          <w:sz w:val="24"/>
          <w:szCs w:val="24"/>
        </w:rPr>
        <w:t>mjere praćenja stanja okoliša (monitoring) odlagališta otpada</w:t>
      </w:r>
    </w:p>
    <w:p>
      <w:pPr>
        <w:pStyle w:val="ListParagraph"/>
        <w:numPr>
          <w:ilvl w:val="0"/>
          <w:numId w:val="6"/>
        </w:numPr>
        <w:jc w:val="both"/>
        <w:rPr>
          <w:rFonts w:cs="Calibri"/>
          <w:sz w:val="24"/>
          <w:szCs w:val="24"/>
        </w:rPr>
      </w:pPr>
      <w:r>
        <w:rPr>
          <w:rFonts w:cs="Calibri"/>
          <w:sz w:val="24"/>
          <w:szCs w:val="24"/>
        </w:rPr>
        <w:t>integriranje sustava gospodarenja otpadom Općine Kloštar Podravski u sustav RCGO</w:t>
      </w:r>
    </w:p>
    <w:p>
      <w:pPr>
        <w:pStyle w:val="ListParagraph"/>
        <w:jc w:val="both"/>
        <w:rPr>
          <w:rFonts w:cs="Calibri"/>
          <w:sz w:val="24"/>
          <w:szCs w:val="24"/>
        </w:rPr>
      </w:pPr>
      <w:r>
        <w:rPr>
          <w:rFonts w:cs="Calibri"/>
          <w:sz w:val="24"/>
          <w:szCs w:val="24"/>
        </w:rPr>
        <w:t>(regionalni centra gospodarenja otpadom) u skladu sa zakonskim propisima.</w:t>
      </w:r>
    </w:p>
    <w:p>
      <w:pPr>
        <w:pStyle w:val="Stilnaslova1"/>
        <w:rPr/>
      </w:pPr>
      <w:bookmarkStart w:id="21" w:name="_Toc33778748"/>
      <w:bookmarkStart w:id="22" w:name="_Toc32561117"/>
      <w:r>
        <w:rPr/>
        <w:t>5. ANALIZA, OCJENA STANJA I POTREBA U GOSPODARENJU OTPADOM NA PODRUČJU OPĆINE KLOŠTAR PODRAVSKI, UKLJUČUJUĆI OSTVARIVANJE CILJEVA</w:t>
      </w:r>
      <w:bookmarkEnd w:id="21"/>
      <w:bookmarkEnd w:id="22"/>
    </w:p>
    <w:p>
      <w:pPr>
        <w:pStyle w:val="Stilnaslova2"/>
        <w:rPr/>
      </w:pPr>
      <w:bookmarkStart w:id="23" w:name="_Toc33778749"/>
      <w:bookmarkStart w:id="24" w:name="_Toc32561118"/>
      <w:r>
        <w:rPr/>
        <w:t>5.1. POSTOJEĆE STANJE SUSTAVA GOSPODARENJA OTPADOM</w:t>
      </w:r>
      <w:bookmarkEnd w:id="23"/>
      <w:bookmarkEnd w:id="24"/>
    </w:p>
    <w:p>
      <w:pPr>
        <w:pStyle w:val="Normal"/>
        <w:spacing w:before="0" w:after="0"/>
        <w:rPr/>
      </w:pPr>
      <w:r>
        <w:rPr/>
      </w:r>
    </w:p>
    <w:p>
      <w:pPr>
        <w:pStyle w:val="Normal"/>
        <w:spacing w:before="0" w:after="0"/>
        <w:rPr>
          <w:rFonts w:cs="Calibri"/>
          <w:szCs w:val="24"/>
        </w:rPr>
      </w:pPr>
      <w:r>
        <w:rPr>
          <w:rFonts w:cs="Calibri"/>
          <w:szCs w:val="24"/>
        </w:rPr>
        <w:t>Sustav sakupljanja komunalnog otpada temelji se na Zakonu o održivom gospodarenju otpadom („Narodne Novine“ broj 94/13 i 73/17), Uredbi o gospodarenju otpadom („Narodne Novine“ broj 50/17) te Odluci o načinu pružanja javne usluge prikupljanja miješanog komunalnog otpada i biorazgradivog komunalnog otpada Općine Kloštar Podravski (KLASA: 351-01/18-01/03, URBROJ: 2137/16-18-1, od 30. siječnja 2018.god.).</w:t>
      </w:r>
    </w:p>
    <w:p>
      <w:pPr>
        <w:pStyle w:val="Normal"/>
        <w:spacing w:before="0" w:after="0"/>
        <w:rPr>
          <w:rFonts w:cs="Calibri"/>
          <w:szCs w:val="24"/>
        </w:rPr>
      </w:pPr>
      <w:r>
        <w:rPr>
          <w:rFonts w:cs="Calibri"/>
          <w:szCs w:val="24"/>
        </w:rPr>
      </w:r>
    </w:p>
    <w:p>
      <w:pPr>
        <w:pStyle w:val="Normal"/>
        <w:spacing w:before="0" w:after="0"/>
        <w:rPr>
          <w:rFonts w:cs="Calibri"/>
          <w:szCs w:val="24"/>
        </w:rPr>
      </w:pPr>
      <w:r>
        <w:rPr>
          <w:rFonts w:cs="Calibri"/>
          <w:color w:val="000000"/>
          <w:szCs w:val="24"/>
        </w:rPr>
        <w:t xml:space="preserve">Na temelju članka 30. stavka 7. Zakona o održivom gospodarenju otpadom ("Narodne Novine" broj 94/13 i 73/17), članka 4. Uredbe o gospodarenju komunalnim otpadom („Narodne Novine“, broj 50/17) i članka 32. Statuta Općine Kloštar Podravski („Službeni glasnik Koprivničko - križevačke županije“, broj 6/13), Općinsko vijeće Općine Kloštar Podravski na 8. sjednici održanoj 30. siječnja 2018.god.  donijelo je Odluku o načinu pružanja javne usluge prikupljana miješanog komunalnog otpada i biorazgradivog komunalnog otpada na području Općine Kloštar Podravski (KLASA: 351-01/18-01/03, URBROJ: 2137/16-18-1, od 30.01.2018.god.). </w:t>
      </w:r>
    </w:p>
    <w:p>
      <w:pPr>
        <w:pStyle w:val="Normal"/>
        <w:spacing w:before="0" w:after="0"/>
        <w:rPr>
          <w:rFonts w:cs="Calibri"/>
          <w:szCs w:val="24"/>
        </w:rPr>
      </w:pPr>
      <w:r>
        <w:rPr>
          <w:rFonts w:cs="Calibri"/>
          <w:szCs w:val="24"/>
        </w:rPr>
      </w:r>
    </w:p>
    <w:p>
      <w:pPr>
        <w:pStyle w:val="ListParagraph"/>
        <w:numPr>
          <w:ilvl w:val="0"/>
          <w:numId w:val="7"/>
        </w:numPr>
        <w:spacing w:before="0" w:after="0"/>
        <w:contextualSpacing/>
        <w:jc w:val="both"/>
        <w:rPr>
          <w:rFonts w:cs="Calibri"/>
          <w:b/>
          <w:b/>
          <w:bCs/>
          <w:sz w:val="24"/>
          <w:szCs w:val="24"/>
        </w:rPr>
      </w:pPr>
      <w:r>
        <w:rPr>
          <w:rFonts w:cs="Calibri"/>
          <w:b/>
          <w:bCs/>
          <w:sz w:val="24"/>
          <w:szCs w:val="24"/>
        </w:rPr>
        <w:t>Broj korisnika u Općini Kloštar Podravski:</w:t>
      </w:r>
    </w:p>
    <w:p>
      <w:pPr>
        <w:pStyle w:val="ListParagraph"/>
        <w:numPr>
          <w:ilvl w:val="0"/>
          <w:numId w:val="8"/>
        </w:numPr>
        <w:spacing w:before="0" w:after="0"/>
        <w:contextualSpacing/>
        <w:jc w:val="both"/>
        <w:rPr>
          <w:rFonts w:cs="Calibri"/>
          <w:sz w:val="24"/>
          <w:szCs w:val="24"/>
        </w:rPr>
      </w:pPr>
      <w:r>
        <w:rPr>
          <w:rFonts w:cs="Calibri"/>
          <w:sz w:val="24"/>
          <w:szCs w:val="24"/>
        </w:rPr>
        <w:t>Fizičke osobe: 888</w:t>
      </w:r>
    </w:p>
    <w:p>
      <w:pPr>
        <w:pStyle w:val="ListParagraph"/>
        <w:numPr>
          <w:ilvl w:val="0"/>
          <w:numId w:val="8"/>
        </w:numPr>
        <w:jc w:val="both"/>
        <w:rPr>
          <w:rFonts w:cs="Calibri"/>
          <w:sz w:val="24"/>
          <w:szCs w:val="24"/>
        </w:rPr>
      </w:pPr>
      <w:r>
        <w:rPr>
          <w:rFonts w:cs="Calibri"/>
          <w:sz w:val="24"/>
          <w:szCs w:val="24"/>
        </w:rPr>
        <w:t xml:space="preserve">Pravne osobe: 50. </w:t>
      </w:r>
    </w:p>
    <w:p>
      <w:pPr>
        <w:pStyle w:val="ListParagraph"/>
        <w:jc w:val="both"/>
        <w:rPr>
          <w:rFonts w:cs="Calibri"/>
          <w:sz w:val="24"/>
          <w:szCs w:val="24"/>
        </w:rPr>
      </w:pPr>
      <w:r>
        <w:rPr>
          <w:rFonts w:cs="Calibri"/>
          <w:sz w:val="24"/>
          <w:szCs w:val="24"/>
        </w:rPr>
      </w:r>
    </w:p>
    <w:p>
      <w:pPr>
        <w:pStyle w:val="ListParagraph"/>
        <w:numPr>
          <w:ilvl w:val="0"/>
          <w:numId w:val="9"/>
        </w:numPr>
        <w:spacing w:before="0" w:after="0"/>
        <w:contextualSpacing/>
        <w:rPr>
          <w:rFonts w:cs="Calibri"/>
          <w:b/>
          <w:b/>
          <w:bCs/>
          <w:sz w:val="24"/>
          <w:szCs w:val="24"/>
        </w:rPr>
      </w:pPr>
      <w:r>
        <w:rPr>
          <w:rFonts w:cs="Calibri"/>
          <w:b/>
          <w:bCs/>
          <w:sz w:val="24"/>
          <w:szCs w:val="24"/>
        </w:rPr>
        <w:t>Na kućnom pragu se sakuplja:</w:t>
      </w:r>
    </w:p>
    <w:p>
      <w:pPr>
        <w:pStyle w:val="ListParagraph"/>
        <w:numPr>
          <w:ilvl w:val="0"/>
          <w:numId w:val="10"/>
        </w:numPr>
        <w:spacing w:before="0" w:after="0"/>
        <w:contextualSpacing/>
        <w:jc w:val="both"/>
        <w:rPr>
          <w:rFonts w:cs="Calibri"/>
          <w:sz w:val="24"/>
          <w:szCs w:val="24"/>
        </w:rPr>
      </w:pPr>
      <w:r>
        <w:rPr>
          <w:rFonts w:cs="Calibri"/>
          <w:sz w:val="24"/>
          <w:szCs w:val="24"/>
        </w:rPr>
        <w:t>Miješani komunalni otpad (MKO) - jednom svaka dva tjedna. Korisnicima je dodijeljen spremnik.</w:t>
      </w:r>
    </w:p>
    <w:p>
      <w:pPr>
        <w:pStyle w:val="ListParagraph"/>
        <w:numPr>
          <w:ilvl w:val="0"/>
          <w:numId w:val="10"/>
        </w:numPr>
        <w:spacing w:before="0" w:after="0"/>
        <w:contextualSpacing/>
        <w:jc w:val="both"/>
        <w:rPr>
          <w:rFonts w:cs="Calibri"/>
          <w:sz w:val="24"/>
          <w:szCs w:val="24"/>
        </w:rPr>
      </w:pPr>
      <w:r>
        <w:rPr>
          <w:rFonts w:cs="Calibri"/>
          <w:sz w:val="24"/>
          <w:szCs w:val="24"/>
        </w:rPr>
        <w:t>Biootpad - jednom svaka dva tjedna. Korisnicima se dodjeljuju besplatne smeđe vreće za biootpad.</w:t>
      </w:r>
    </w:p>
    <w:p>
      <w:pPr>
        <w:pStyle w:val="ListParagraph"/>
        <w:numPr>
          <w:ilvl w:val="0"/>
          <w:numId w:val="10"/>
        </w:numPr>
        <w:spacing w:before="0" w:after="0"/>
        <w:contextualSpacing/>
        <w:jc w:val="both"/>
        <w:rPr>
          <w:rFonts w:cs="Calibri"/>
          <w:sz w:val="24"/>
          <w:szCs w:val="24"/>
        </w:rPr>
      </w:pPr>
      <w:r>
        <w:rPr>
          <w:rFonts w:cs="Calibri"/>
          <w:sz w:val="24"/>
          <w:szCs w:val="24"/>
        </w:rPr>
        <w:t>Papir - jednom mjesečno. Korisnicima se dodjeljuju besplatne plave vreće za papir.</w:t>
      </w:r>
    </w:p>
    <w:p>
      <w:pPr>
        <w:pStyle w:val="ListParagraph"/>
        <w:numPr>
          <w:ilvl w:val="0"/>
          <w:numId w:val="10"/>
        </w:numPr>
        <w:spacing w:before="0" w:after="0"/>
        <w:contextualSpacing/>
        <w:jc w:val="both"/>
        <w:rPr>
          <w:rFonts w:cs="Calibri"/>
          <w:sz w:val="24"/>
          <w:szCs w:val="24"/>
        </w:rPr>
      </w:pPr>
      <w:r>
        <w:rPr>
          <w:rFonts w:cs="Calibri"/>
          <w:sz w:val="24"/>
          <w:szCs w:val="24"/>
        </w:rPr>
        <w:t>Plastika - jednom mjesečno. Korisnicima se dodjeljuju besplatne žute vreće za plastiku.</w:t>
      </w:r>
    </w:p>
    <w:p>
      <w:pPr>
        <w:pStyle w:val="ListParagraph"/>
        <w:numPr>
          <w:ilvl w:val="0"/>
          <w:numId w:val="10"/>
        </w:numPr>
        <w:spacing w:before="0" w:after="0"/>
        <w:contextualSpacing/>
        <w:jc w:val="both"/>
        <w:rPr>
          <w:rFonts w:cs="Calibri"/>
          <w:sz w:val="24"/>
          <w:szCs w:val="24"/>
        </w:rPr>
      </w:pPr>
      <w:r>
        <w:rPr>
          <w:rFonts w:cs="Calibri"/>
          <w:sz w:val="24"/>
          <w:szCs w:val="24"/>
        </w:rPr>
        <w:t>Glomazni otpad - dva puta godišnje.</w:t>
      </w:r>
    </w:p>
    <w:p>
      <w:pPr>
        <w:pStyle w:val="Normal"/>
        <w:spacing w:before="0" w:after="0"/>
        <w:rPr>
          <w:rFonts w:cs="Calibri"/>
          <w:szCs w:val="24"/>
        </w:rPr>
      </w:pPr>
      <w:r>
        <w:rPr>
          <w:rFonts w:cs="Calibri"/>
          <w:szCs w:val="24"/>
        </w:rPr>
      </w:r>
    </w:p>
    <w:p>
      <w:pPr>
        <w:pStyle w:val="Normal"/>
        <w:spacing w:before="0" w:after="0"/>
        <w:rPr>
          <w:rFonts w:cs="Calibri"/>
          <w:szCs w:val="24"/>
        </w:rPr>
      </w:pPr>
      <w:r>
        <w:rPr>
          <w:rFonts w:cs="Calibri"/>
          <w:szCs w:val="24"/>
        </w:rPr>
        <w:t xml:space="preserve">Na području Općine Kloštar Podravski, završno s 2019.god., ukupno je podijeljeno 943 spremnika za prikupljanje komunalnog otpada. </w:t>
      </w:r>
    </w:p>
    <w:p>
      <w:pPr>
        <w:pStyle w:val="Normal"/>
        <w:spacing w:before="0" w:after="0"/>
        <w:rPr>
          <w:rFonts w:cs="Calibri"/>
          <w:szCs w:val="24"/>
        </w:rPr>
      </w:pPr>
      <w:r>
        <w:rPr>
          <w:rFonts w:cs="Calibri"/>
          <w:szCs w:val="24"/>
        </w:rPr>
      </w:r>
    </w:p>
    <w:p>
      <w:pPr>
        <w:pStyle w:val="Normal"/>
        <w:spacing w:before="0" w:after="0"/>
        <w:rPr>
          <w:rFonts w:cs="Calibri"/>
          <w:szCs w:val="24"/>
        </w:rPr>
      </w:pPr>
      <w:r>
        <w:rPr>
          <w:rFonts w:cs="Calibri"/>
          <w:szCs w:val="24"/>
        </w:rPr>
        <w:t>Posebno se sakuplja agro - folija od OPG-a i PG-a četiri puta godišnje u unaprijed određene datume, a prema prethodnoj najavi.</w:t>
      </w:r>
    </w:p>
    <w:p>
      <w:pPr>
        <w:pStyle w:val="Normal"/>
        <w:spacing w:before="0" w:after="0"/>
        <w:rPr>
          <w:rFonts w:cs="Calibri"/>
          <w:szCs w:val="24"/>
        </w:rPr>
      </w:pPr>
      <w:r>
        <w:rPr>
          <w:rFonts w:cs="Calibri"/>
          <w:szCs w:val="24"/>
        </w:rPr>
        <w:t>Uz mjesna groblja također su postavljeni spremnici te se takav otpad odvozi prema pozivu.</w:t>
      </w:r>
    </w:p>
    <w:p>
      <w:pPr>
        <w:pStyle w:val="Normal"/>
        <w:spacing w:before="0" w:after="0"/>
        <w:rPr>
          <w:rFonts w:cs="Calibri"/>
          <w:szCs w:val="24"/>
        </w:rPr>
      </w:pPr>
      <w:r>
        <w:rPr>
          <w:rFonts w:cs="Calibri"/>
          <w:szCs w:val="24"/>
        </w:rPr>
      </w:r>
    </w:p>
    <w:p>
      <w:pPr>
        <w:pStyle w:val="ListParagraph"/>
        <w:numPr>
          <w:ilvl w:val="0"/>
          <w:numId w:val="11"/>
        </w:numPr>
        <w:spacing w:before="0" w:after="0"/>
        <w:contextualSpacing/>
        <w:jc w:val="both"/>
        <w:rPr>
          <w:rFonts w:cs="Calibri"/>
          <w:b/>
          <w:b/>
          <w:bCs/>
          <w:sz w:val="24"/>
          <w:szCs w:val="24"/>
        </w:rPr>
      </w:pPr>
      <w:r>
        <w:rPr>
          <w:rFonts w:cs="Calibri"/>
          <w:b/>
          <w:bCs/>
          <w:sz w:val="24"/>
          <w:szCs w:val="24"/>
        </w:rPr>
        <w:t>Zeleni otoci za papir, plastiku, tekstil, metal i staklo postavljeni su na 4 lokacije</w:t>
      </w:r>
    </w:p>
    <w:p>
      <w:pPr>
        <w:pStyle w:val="Normal"/>
        <w:spacing w:before="0" w:after="0"/>
        <w:jc w:val="center"/>
        <w:rPr>
          <w:rFonts w:cs="Calibri"/>
          <w:b/>
          <w:b/>
          <w:bCs/>
          <w:szCs w:val="24"/>
        </w:rPr>
      </w:pPr>
      <w:r>
        <w:rPr>
          <w:rFonts w:cs="Calibri"/>
          <w:b/>
          <w:bCs/>
          <w:szCs w:val="24"/>
        </w:rPr>
      </w:r>
    </w:p>
    <w:p>
      <w:pPr>
        <w:pStyle w:val="Caption"/>
        <w:jc w:val="center"/>
        <w:rPr>
          <w:rFonts w:cs="Calibri"/>
          <w:b w:val="false"/>
          <w:b w:val="false"/>
          <w:bCs w:val="false"/>
          <w:szCs w:val="24"/>
        </w:rPr>
      </w:pPr>
      <w:bookmarkStart w:id="25" w:name="_Toc33778772"/>
      <w:r>
        <w:rPr/>
        <w:t xml:space="preserve">Tablica </w:t>
      </w:r>
      <w:r>
        <w:rPr/>
        <w:fldChar w:fldCharType="begin"/>
      </w:r>
      <w:r>
        <w:rPr/>
        <w:instrText> SEQ Tablica \* ARABIC </w:instrText>
      </w:r>
      <w:r>
        <w:rPr/>
        <w:fldChar w:fldCharType="separate"/>
      </w:r>
      <w:r>
        <w:rPr/>
        <w:t>2</w:t>
      </w:r>
      <w:r>
        <w:rPr/>
        <w:fldChar w:fldCharType="end"/>
      </w:r>
      <w:r>
        <w:rPr/>
        <w:t>: Pregled lokacija zelenih otoka na području Općine Kloštar Podravski</w:t>
      </w:r>
      <w:bookmarkEnd w:id="25"/>
    </w:p>
    <w:tbl>
      <w:tblPr>
        <w:tblW w:w="9062" w:type="dxa"/>
        <w:jc w:val="left"/>
        <w:tblInd w:w="0" w:type="dxa"/>
        <w:tblCellMar>
          <w:top w:w="0" w:type="dxa"/>
          <w:left w:w="108" w:type="dxa"/>
          <w:bottom w:w="0" w:type="dxa"/>
          <w:right w:w="108" w:type="dxa"/>
        </w:tblCellMar>
        <w:tblLook w:val="00a0"/>
      </w:tblPr>
      <w:tblGrid>
        <w:gridCol w:w="1837"/>
        <w:gridCol w:w="1418"/>
        <w:gridCol w:w="1416"/>
        <w:gridCol w:w="1559"/>
        <w:gridCol w:w="1417"/>
        <w:gridCol w:w="1414"/>
      </w:tblGrid>
      <w:tr>
        <w:trPr/>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rPr>
            </w:pPr>
            <w:r>
              <w:rPr>
                <w:rFonts w:cs="Calibri"/>
                <w:b/>
                <w:bCs/>
                <w:sz w:val="20"/>
                <w:szCs w:val="20"/>
              </w:rPr>
              <w:t>Lokacija (mjesto, ulica)</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rPr>
            </w:pPr>
            <w:r>
              <w:rPr>
                <w:rFonts w:cs="Calibri"/>
                <w:b/>
                <w:bCs/>
                <w:sz w:val="20"/>
                <w:szCs w:val="20"/>
              </w:rPr>
              <w:t>Papir</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rPr>
            </w:pPr>
            <w:r>
              <w:rPr>
                <w:rFonts w:cs="Calibri"/>
                <w:b/>
                <w:bCs/>
                <w:sz w:val="20"/>
                <w:szCs w:val="20"/>
              </w:rPr>
              <w:t>Plastika</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rPr>
            </w:pPr>
            <w:r>
              <w:rPr>
                <w:rFonts w:cs="Calibri"/>
                <w:b/>
                <w:bCs/>
                <w:sz w:val="20"/>
                <w:szCs w:val="20"/>
              </w:rPr>
              <w:t>Staklo</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rPr>
            </w:pPr>
            <w:r>
              <w:rPr>
                <w:rFonts w:cs="Calibri"/>
                <w:b/>
                <w:bCs/>
                <w:sz w:val="20"/>
                <w:szCs w:val="20"/>
              </w:rPr>
              <w:t>Tekstil</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rPr>
            </w:pPr>
            <w:r>
              <w:rPr>
                <w:rFonts w:cs="Calibri"/>
                <w:b/>
                <w:bCs/>
                <w:sz w:val="20"/>
                <w:szCs w:val="20"/>
              </w:rPr>
              <w:t>Metal</w:t>
            </w:r>
          </w:p>
        </w:tc>
      </w:tr>
      <w:tr>
        <w:trPr/>
        <w:tc>
          <w:tcPr>
            <w:tcW w:w="18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cs="Calibri"/>
                <w:sz w:val="20"/>
                <w:szCs w:val="20"/>
              </w:rPr>
            </w:pPr>
            <w:r>
              <w:rPr>
                <w:rFonts w:cs="Calibri"/>
                <w:sz w:val="20"/>
                <w:szCs w:val="20"/>
              </w:rPr>
              <w:t>Trg svete obitelji 14, Kloštar Podravski</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120 L</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120 L</w:t>
            </w:r>
          </w:p>
        </w:tc>
      </w:tr>
      <w:tr>
        <w:trPr/>
        <w:tc>
          <w:tcPr>
            <w:tcW w:w="18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cs="Calibri"/>
                <w:sz w:val="20"/>
                <w:szCs w:val="20"/>
              </w:rPr>
            </w:pPr>
            <w:r>
              <w:rPr>
                <w:rFonts w:cs="Calibri"/>
                <w:sz w:val="20"/>
                <w:szCs w:val="20"/>
              </w:rPr>
              <w:t>Kozarevačka 2, Prugovac</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120 L</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120 L</w:t>
            </w:r>
          </w:p>
        </w:tc>
      </w:tr>
      <w:tr>
        <w:trPr/>
        <w:tc>
          <w:tcPr>
            <w:tcW w:w="18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cs="Calibri"/>
                <w:sz w:val="20"/>
                <w:szCs w:val="20"/>
              </w:rPr>
            </w:pPr>
            <w:r>
              <w:rPr>
                <w:rFonts w:cs="Calibri"/>
                <w:sz w:val="20"/>
                <w:szCs w:val="20"/>
              </w:rPr>
              <w:t>Vladimira Nazora 2, Budančevica</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120 L</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120 L</w:t>
            </w:r>
          </w:p>
        </w:tc>
      </w:tr>
      <w:tr>
        <w:trPr/>
        <w:tc>
          <w:tcPr>
            <w:tcW w:w="18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cs="Calibri"/>
                <w:sz w:val="20"/>
                <w:szCs w:val="20"/>
              </w:rPr>
            </w:pPr>
            <w:r>
              <w:rPr>
                <w:rFonts w:cs="Calibri"/>
                <w:sz w:val="20"/>
                <w:szCs w:val="20"/>
              </w:rPr>
              <w:t>Petra Preradovića 1, Kozarevac</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1.100 L</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120 L</w:t>
            </w:r>
          </w:p>
        </w:tc>
        <w:tc>
          <w:tcPr>
            <w:tcW w:w="14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Calibri"/>
                <w:sz w:val="20"/>
                <w:szCs w:val="20"/>
              </w:rPr>
            </w:pPr>
            <w:r>
              <w:rPr>
                <w:rFonts w:cs="Calibri"/>
                <w:sz w:val="20"/>
                <w:szCs w:val="20"/>
              </w:rPr>
              <w:t>1 x 120 L</w:t>
            </w:r>
          </w:p>
        </w:tc>
      </w:tr>
    </w:tbl>
    <w:p>
      <w:pPr>
        <w:pStyle w:val="Normal"/>
        <w:spacing w:before="0" w:after="0"/>
        <w:jc w:val="center"/>
        <w:rPr>
          <w:rFonts w:cs="Calibri"/>
          <w:sz w:val="20"/>
          <w:szCs w:val="20"/>
        </w:rPr>
      </w:pPr>
      <w:r>
        <w:rPr>
          <w:rFonts w:cs="Calibri"/>
          <w:sz w:val="20"/>
          <w:szCs w:val="20"/>
        </w:rPr>
        <w:t>Izvor: Drava Kom d.o.o., veljača 2020.god.</w:t>
      </w:r>
    </w:p>
    <w:p>
      <w:pPr>
        <w:pStyle w:val="Stilnaslova1"/>
        <w:rPr/>
      </w:pPr>
      <w:bookmarkStart w:id="26" w:name="_Toc33778750"/>
      <w:bookmarkStart w:id="27" w:name="_Toc32561119"/>
      <w:r>
        <w:rPr/>
        <w:t xml:space="preserve">6. PODACI O VRSTAMA I KOLIČINAMA SKUPLJENOG KOMUNALNOG, BIORAZGRADIVOG I DRUGOG ODVOJENO SKUPLJENOG OTPADA TE PODACI O ODLAGANJU NA PODRUČJU OPĆINE </w:t>
      </w:r>
      <w:bookmarkEnd w:id="27"/>
      <w:r>
        <w:rPr/>
        <w:t>KLOŠTAR PODRAVSKI</w:t>
      </w:r>
      <w:bookmarkEnd w:id="26"/>
    </w:p>
    <w:p>
      <w:pPr>
        <w:pStyle w:val="Normal"/>
        <w:spacing w:lineRule="auto" w:line="240" w:before="0" w:after="0"/>
        <w:jc w:val="left"/>
        <w:rPr/>
      </w:pPr>
      <w:r>
        <w:rPr/>
      </w:r>
    </w:p>
    <w:p>
      <w:pPr>
        <w:pStyle w:val="Normal"/>
        <w:spacing w:before="0" w:after="0"/>
        <w:rPr>
          <w:rFonts w:cs="Calibri"/>
          <w:szCs w:val="24"/>
        </w:rPr>
      </w:pPr>
      <w:r>
        <w:rPr>
          <w:rFonts w:cs="Calibri"/>
          <w:szCs w:val="24"/>
        </w:rPr>
        <w:t>Tijekom 2019.god. uveden je sustav evidencije predaje komunalnog otpada od strane fizičkih i pravnih osoba. Od 01.01.2019.god. uvedena je evidencija predaje miješanog komunalnog otpada, a sa 01.07.2019.god. uvodimo i evidenciju predaje odvojeno sakupljenog papira i plastike na kućnome pragu korisnika usluge.</w:t>
      </w:r>
    </w:p>
    <w:p>
      <w:pPr>
        <w:pStyle w:val="Normal"/>
        <w:rPr>
          <w:rFonts w:cs="Calibri"/>
          <w:szCs w:val="24"/>
        </w:rPr>
      </w:pPr>
      <w:r>
        <w:rPr>
          <w:rFonts w:cs="Calibri"/>
          <w:szCs w:val="24"/>
        </w:rPr>
        <w:t>U nastavku je prikazan broj primopredaja u 2019.god. za pojedine vrste otpada.</w:t>
      </w:r>
    </w:p>
    <w:p>
      <w:pPr>
        <w:pStyle w:val="Caption"/>
        <w:jc w:val="center"/>
        <w:rPr>
          <w:rFonts w:cs="Calibri"/>
          <w:szCs w:val="24"/>
        </w:rPr>
      </w:pPr>
      <w:bookmarkStart w:id="28" w:name="_Toc33778773"/>
      <w:r>
        <w:rPr/>
        <w:t xml:space="preserve">Tablica </w:t>
      </w:r>
      <w:r>
        <w:rPr/>
        <w:fldChar w:fldCharType="begin"/>
      </w:r>
      <w:r>
        <w:rPr/>
        <w:instrText> SEQ Tablica \* ARABIC </w:instrText>
      </w:r>
      <w:r>
        <w:rPr/>
        <w:fldChar w:fldCharType="separate"/>
      </w:r>
      <w:r>
        <w:rPr/>
        <w:t>3</w:t>
      </w:r>
      <w:r>
        <w:rPr/>
        <w:fldChar w:fldCharType="end"/>
      </w:r>
      <w:r>
        <w:rPr/>
        <w:t>: Prikaz evidencije predaje otpada na području Općine Kloštar Podravski za 2019.god.</w:t>
      </w:r>
      <w:bookmarkEnd w:id="28"/>
    </w:p>
    <w:tbl>
      <w:tblPr>
        <w:tblW w:w="9062" w:type="dxa"/>
        <w:jc w:val="left"/>
        <w:tblInd w:w="0" w:type="dxa"/>
        <w:tblCellMar>
          <w:top w:w="0" w:type="dxa"/>
          <w:left w:w="108" w:type="dxa"/>
          <w:bottom w:w="0" w:type="dxa"/>
          <w:right w:w="108" w:type="dxa"/>
        </w:tblCellMar>
        <w:tblLook w:val="00a0"/>
      </w:tblPr>
      <w:tblGrid>
        <w:gridCol w:w="3020"/>
        <w:gridCol w:w="3019"/>
        <w:gridCol w:w="3023"/>
      </w:tblGrid>
      <w:tr>
        <w:trPr/>
        <w:tc>
          <w:tcPr>
            <w:tcW w:w="3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rPr>
            </w:pPr>
            <w:r>
              <w:rPr>
                <w:rFonts w:cs="Calibri"/>
                <w:b/>
                <w:bCs/>
                <w:sz w:val="20"/>
                <w:szCs w:val="20"/>
              </w:rPr>
              <w:t>Vrsta otpada</w:t>
            </w:r>
          </w:p>
        </w:tc>
        <w:tc>
          <w:tcPr>
            <w:tcW w:w="3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rPr>
            </w:pPr>
            <w:r>
              <w:rPr>
                <w:rFonts w:cs="Calibri"/>
                <w:b/>
                <w:bCs/>
                <w:sz w:val="20"/>
                <w:szCs w:val="20"/>
              </w:rPr>
              <w:t>Razdoblje</w:t>
            </w:r>
          </w:p>
        </w:tc>
        <w:tc>
          <w:tcPr>
            <w:tcW w:w="30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rPr>
            </w:pPr>
            <w:r>
              <w:rPr>
                <w:rFonts w:cs="Calibri"/>
                <w:b/>
                <w:bCs/>
                <w:sz w:val="20"/>
                <w:szCs w:val="20"/>
              </w:rPr>
              <w:t>Broj predaja</w:t>
            </w:r>
          </w:p>
        </w:tc>
      </w:tr>
      <w:tr>
        <w:trPr/>
        <w:tc>
          <w:tcPr>
            <w:tcW w:w="3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cs="Calibri"/>
                <w:sz w:val="20"/>
                <w:szCs w:val="20"/>
              </w:rPr>
            </w:pPr>
            <w:r>
              <w:rPr>
                <w:rFonts w:cs="Calibri"/>
                <w:sz w:val="20"/>
                <w:szCs w:val="20"/>
              </w:rPr>
              <w:t>Miješani komunalni otpad</w:t>
            </w:r>
          </w:p>
        </w:tc>
        <w:tc>
          <w:tcPr>
            <w:tcW w:w="3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rPr>
            </w:pPr>
            <w:r>
              <w:rPr>
                <w:rFonts w:cs="Calibri"/>
                <w:sz w:val="20"/>
                <w:szCs w:val="20"/>
              </w:rPr>
              <w:t>1.1. – 31.12.2019.</w:t>
            </w:r>
          </w:p>
        </w:tc>
        <w:tc>
          <w:tcPr>
            <w:tcW w:w="30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rPr>
            </w:pPr>
            <w:r>
              <w:rPr>
                <w:rFonts w:cs="Calibri"/>
                <w:sz w:val="20"/>
                <w:szCs w:val="20"/>
              </w:rPr>
              <w:t>15.413</w:t>
            </w:r>
          </w:p>
        </w:tc>
      </w:tr>
      <w:tr>
        <w:trPr/>
        <w:tc>
          <w:tcPr>
            <w:tcW w:w="3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cs="Calibri"/>
                <w:sz w:val="20"/>
                <w:szCs w:val="20"/>
              </w:rPr>
            </w:pPr>
            <w:r>
              <w:rPr>
                <w:rFonts w:cs="Calibri"/>
                <w:sz w:val="20"/>
                <w:szCs w:val="20"/>
              </w:rPr>
              <w:t>Papir</w:t>
            </w:r>
          </w:p>
        </w:tc>
        <w:tc>
          <w:tcPr>
            <w:tcW w:w="3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rPr>
            </w:pPr>
            <w:r>
              <w:rPr>
                <w:rFonts w:cs="Calibri"/>
                <w:sz w:val="20"/>
                <w:szCs w:val="20"/>
              </w:rPr>
              <w:t>1.1. – 31.12.2019.</w:t>
            </w:r>
          </w:p>
        </w:tc>
        <w:tc>
          <w:tcPr>
            <w:tcW w:w="30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rPr>
            </w:pPr>
            <w:r>
              <w:rPr>
                <w:rFonts w:cs="Calibri"/>
                <w:sz w:val="20"/>
                <w:szCs w:val="20"/>
              </w:rPr>
              <w:t>801</w:t>
            </w:r>
          </w:p>
        </w:tc>
      </w:tr>
      <w:tr>
        <w:trPr/>
        <w:tc>
          <w:tcPr>
            <w:tcW w:w="30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cs="Calibri"/>
                <w:sz w:val="20"/>
                <w:szCs w:val="20"/>
              </w:rPr>
            </w:pPr>
            <w:r>
              <w:rPr>
                <w:rFonts w:cs="Calibri"/>
                <w:sz w:val="20"/>
                <w:szCs w:val="20"/>
              </w:rPr>
              <w:t>Plastika</w:t>
            </w:r>
          </w:p>
        </w:tc>
        <w:tc>
          <w:tcPr>
            <w:tcW w:w="3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rPr>
            </w:pPr>
            <w:r>
              <w:rPr>
                <w:rFonts w:cs="Calibri"/>
                <w:sz w:val="20"/>
                <w:szCs w:val="20"/>
              </w:rPr>
              <w:t>1.1. – 31.12.2019.</w:t>
            </w:r>
          </w:p>
        </w:tc>
        <w:tc>
          <w:tcPr>
            <w:tcW w:w="30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rPr>
            </w:pPr>
            <w:r>
              <w:rPr>
                <w:rFonts w:cs="Calibri"/>
                <w:sz w:val="20"/>
                <w:szCs w:val="20"/>
              </w:rPr>
              <w:t>1.480</w:t>
            </w:r>
          </w:p>
        </w:tc>
      </w:tr>
    </w:tbl>
    <w:p>
      <w:pPr>
        <w:pStyle w:val="Normal"/>
        <w:spacing w:before="0" w:after="0"/>
        <w:jc w:val="center"/>
        <w:rPr>
          <w:rFonts w:cs="Calibri"/>
          <w:sz w:val="20"/>
          <w:szCs w:val="20"/>
        </w:rPr>
      </w:pPr>
      <w:r>
        <w:rPr>
          <w:rFonts w:cs="Calibri"/>
          <w:sz w:val="20"/>
          <w:szCs w:val="20"/>
        </w:rPr>
        <w:t>Izvor: Drava Kom d.o.o., veljača 2020.god.</w:t>
      </w:r>
    </w:p>
    <w:p>
      <w:pPr>
        <w:pStyle w:val="Normal"/>
        <w:spacing w:before="0" w:after="0"/>
        <w:rPr>
          <w:rFonts w:cs="Calibri"/>
        </w:rPr>
      </w:pPr>
      <w:r>
        <w:rPr>
          <w:rFonts w:cs="Calibri"/>
        </w:rPr>
      </w:r>
    </w:p>
    <w:p>
      <w:pPr>
        <w:pStyle w:val="Normal"/>
        <w:spacing w:before="0" w:after="0"/>
        <w:rPr>
          <w:rFonts w:cs="Calibri"/>
          <w:szCs w:val="24"/>
        </w:rPr>
      </w:pPr>
      <w:r>
        <w:rPr>
          <w:rFonts w:cs="Calibri"/>
          <w:szCs w:val="24"/>
        </w:rPr>
        <w:t>Važno napomenuti da je u odnosu na 2018.god. (kada se otpad prikupljao pod tvrtkom Piškornica SO) tijekom 2019.god. došlo do značajnog smanjenja količine sakupljenog miješanog komunalnog otpada, dok je s druge strane došlo je do povećanja količina odvojeno prikupljenog otpada.</w:t>
      </w:r>
    </w:p>
    <w:p>
      <w:pPr>
        <w:pStyle w:val="Normal"/>
        <w:spacing w:before="0" w:after="0"/>
        <w:jc w:val="center"/>
        <w:rPr>
          <w:rFonts w:cs="Calibri"/>
          <w:szCs w:val="24"/>
        </w:rPr>
      </w:pPr>
      <w:r>
        <w:rPr>
          <w:rFonts w:cs="Calibri"/>
          <w:szCs w:val="24"/>
        </w:rPr>
      </w:r>
    </w:p>
    <w:p>
      <w:pPr>
        <w:pStyle w:val="Caption"/>
        <w:jc w:val="center"/>
        <w:rPr>
          <w:rFonts w:cs="Calibri"/>
          <w:szCs w:val="24"/>
        </w:rPr>
      </w:pPr>
      <w:bookmarkStart w:id="29" w:name="_Toc33778774"/>
      <w:r>
        <w:rPr/>
        <w:t xml:space="preserve">Tablica </w:t>
      </w:r>
      <w:r>
        <w:rPr/>
        <w:fldChar w:fldCharType="begin"/>
      </w:r>
      <w:r>
        <w:rPr/>
        <w:instrText> SEQ Tablica \* ARABIC </w:instrText>
      </w:r>
      <w:r>
        <w:rPr/>
        <w:fldChar w:fldCharType="separate"/>
      </w:r>
      <w:r>
        <w:rPr/>
        <w:t>4</w:t>
      </w:r>
      <w:r>
        <w:rPr/>
        <w:fldChar w:fldCharType="end"/>
      </w:r>
      <w:r>
        <w:rPr/>
        <w:t>: Prikaz količina skupljenog otpada na području Općine Kloštar Podravski (t)</w:t>
      </w:r>
      <w:bookmarkEnd w:id="29"/>
    </w:p>
    <w:tbl>
      <w:tblPr>
        <w:tblW w:w="9061" w:type="dxa"/>
        <w:jc w:val="left"/>
        <w:tblInd w:w="0" w:type="dxa"/>
        <w:tblCellMar>
          <w:top w:w="0" w:type="dxa"/>
          <w:left w:w="108" w:type="dxa"/>
          <w:bottom w:w="0" w:type="dxa"/>
          <w:right w:w="108" w:type="dxa"/>
        </w:tblCellMar>
        <w:tblLook w:val="00a0"/>
      </w:tblPr>
      <w:tblGrid>
        <w:gridCol w:w="1132"/>
        <w:gridCol w:w="1131"/>
        <w:gridCol w:w="1134"/>
        <w:gridCol w:w="1131"/>
        <w:gridCol w:w="1134"/>
        <w:gridCol w:w="1131"/>
        <w:gridCol w:w="1134"/>
        <w:gridCol w:w="1133"/>
      </w:tblGrid>
      <w:tr>
        <w:trPr/>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bCs/>
                <w:sz w:val="20"/>
                <w:szCs w:val="20"/>
              </w:rPr>
            </w:pPr>
            <w:r>
              <w:rPr>
                <w:rFonts w:cs="Calibri"/>
                <w:b/>
                <w:bCs/>
                <w:sz w:val="20"/>
                <w:szCs w:val="20"/>
              </w:rPr>
              <w:t>Vrsta Otpada</w:t>
            </w:r>
          </w:p>
        </w:tc>
        <w:tc>
          <w:tcPr>
            <w:tcW w:w="11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bCs/>
                <w:sz w:val="20"/>
                <w:szCs w:val="20"/>
              </w:rPr>
            </w:pPr>
            <w:r>
              <w:rPr>
                <w:rFonts w:cs="Calibri"/>
                <w:b/>
                <w:bCs/>
                <w:sz w:val="20"/>
                <w:szCs w:val="20"/>
              </w:rPr>
              <w:t>Miješani komunalni</w:t>
            </w:r>
          </w:p>
        </w:tc>
        <w:tc>
          <w:tcPr>
            <w:tcW w:w="11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bCs/>
                <w:sz w:val="20"/>
                <w:szCs w:val="20"/>
              </w:rPr>
            </w:pPr>
            <w:r>
              <w:rPr>
                <w:rFonts w:cs="Calibri"/>
                <w:b/>
                <w:bCs/>
                <w:sz w:val="20"/>
                <w:szCs w:val="20"/>
              </w:rPr>
              <w:t>Papir</w:t>
            </w:r>
          </w:p>
        </w:tc>
        <w:tc>
          <w:tcPr>
            <w:tcW w:w="11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bCs/>
                <w:sz w:val="20"/>
                <w:szCs w:val="20"/>
              </w:rPr>
            </w:pPr>
            <w:r>
              <w:rPr>
                <w:rFonts w:cs="Calibri"/>
                <w:b/>
                <w:bCs/>
                <w:sz w:val="20"/>
                <w:szCs w:val="20"/>
              </w:rPr>
              <w:t>Plastika</w:t>
            </w:r>
          </w:p>
        </w:tc>
        <w:tc>
          <w:tcPr>
            <w:tcW w:w="11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bCs/>
                <w:sz w:val="20"/>
                <w:szCs w:val="20"/>
              </w:rPr>
            </w:pPr>
            <w:r>
              <w:rPr>
                <w:rFonts w:cs="Calibri"/>
                <w:b/>
                <w:bCs/>
                <w:sz w:val="20"/>
                <w:szCs w:val="20"/>
              </w:rPr>
              <w:t>Staklo</w:t>
            </w:r>
          </w:p>
        </w:tc>
        <w:tc>
          <w:tcPr>
            <w:tcW w:w="11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bCs/>
                <w:sz w:val="20"/>
                <w:szCs w:val="20"/>
              </w:rPr>
            </w:pPr>
            <w:r>
              <w:rPr>
                <w:rFonts w:cs="Calibri"/>
                <w:b/>
                <w:bCs/>
                <w:sz w:val="20"/>
                <w:szCs w:val="20"/>
              </w:rPr>
              <w:t>Glomazni otpad</w:t>
            </w:r>
          </w:p>
        </w:tc>
        <w:tc>
          <w:tcPr>
            <w:tcW w:w="11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bCs/>
                <w:sz w:val="20"/>
                <w:szCs w:val="20"/>
              </w:rPr>
            </w:pPr>
            <w:r>
              <w:rPr>
                <w:rFonts w:cs="Calibri"/>
                <w:b/>
                <w:bCs/>
                <w:sz w:val="20"/>
                <w:szCs w:val="20"/>
              </w:rPr>
              <w:t>Otpad s groblja</w:t>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bCs/>
                <w:sz w:val="20"/>
                <w:szCs w:val="20"/>
              </w:rPr>
            </w:pPr>
            <w:r>
              <w:rPr>
                <w:rFonts w:cs="Calibri"/>
                <w:b/>
                <w:bCs/>
                <w:sz w:val="20"/>
                <w:szCs w:val="20"/>
              </w:rPr>
              <w:t>Agro - folija</w:t>
            </w:r>
          </w:p>
        </w:tc>
      </w:tr>
      <w:tr>
        <w:trPr/>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bCs/>
                <w:sz w:val="20"/>
                <w:szCs w:val="20"/>
              </w:rPr>
            </w:pPr>
            <w:r>
              <w:rPr>
                <w:rFonts w:cs="Calibri"/>
                <w:b/>
                <w:bCs/>
                <w:sz w:val="20"/>
                <w:szCs w:val="20"/>
              </w:rPr>
              <w:t>Godina</w:t>
            </w:r>
          </w:p>
        </w:tc>
        <w:tc>
          <w:tcPr>
            <w:tcW w:w="11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r>
          </w:p>
        </w:tc>
        <w:tc>
          <w:tcPr>
            <w:tcW w:w="11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r>
          </w:p>
        </w:tc>
        <w:tc>
          <w:tcPr>
            <w:tcW w:w="11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r>
          </w:p>
        </w:tc>
      </w:tr>
      <w:tr>
        <w:trPr/>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t>2018.</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500,82</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3,06</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1,50</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3,49</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13,48</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14,19</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0,00</w:t>
            </w:r>
          </w:p>
        </w:tc>
      </w:tr>
      <w:tr>
        <w:trPr/>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t>2019.</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338,40</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11,65</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6,51</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5,31</w:t>
            </w:r>
          </w:p>
        </w:tc>
        <w:tc>
          <w:tcPr>
            <w:tcW w:w="11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9,64</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8,74</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1,62</w:t>
            </w:r>
          </w:p>
        </w:tc>
      </w:tr>
    </w:tbl>
    <w:p>
      <w:pPr>
        <w:pStyle w:val="Normal"/>
        <w:spacing w:before="0" w:after="0"/>
        <w:jc w:val="center"/>
        <w:rPr>
          <w:rFonts w:cs="Calibri"/>
          <w:sz w:val="20"/>
          <w:szCs w:val="20"/>
        </w:rPr>
      </w:pPr>
      <w:r>
        <w:rPr>
          <w:rFonts w:cs="Calibri"/>
          <w:sz w:val="20"/>
          <w:szCs w:val="20"/>
        </w:rPr>
        <w:t>Izvor: Drava Kom d.o.o., veljača 2020.god.</w:t>
      </w:r>
    </w:p>
    <w:p>
      <w:pPr>
        <w:pStyle w:val="Stilnaslova1"/>
        <w:rPr/>
      </w:pPr>
      <w:bookmarkStart w:id="30" w:name="_Toc33778751"/>
      <w:bookmarkStart w:id="31" w:name="_Toc32561120"/>
      <w:r>
        <w:rPr/>
        <w:t>7. PODACI O POSTOJEĆIM I PLANIRANIM GRAĐEVINAMA I UREĐAJIMA ZA GOSPODARENJE OTPADOM TE STATUS SANACIJE NEUSKLAĐENIH ODLAGALIŠTA I LOKACIJA ONEČIŠĆENIH OTPADOM</w:t>
      </w:r>
      <w:bookmarkEnd w:id="30"/>
      <w:bookmarkEnd w:id="31"/>
    </w:p>
    <w:p>
      <w:pPr>
        <w:pStyle w:val="Stilnaslova2"/>
        <w:rPr/>
      </w:pPr>
      <w:bookmarkStart w:id="32" w:name="_Toc33778752"/>
      <w:r>
        <w:rPr/>
        <w:t>7.1. SKLADIŠTE NEOPASNOG OTPADA MOLVE</w:t>
      </w:r>
      <w:bookmarkEnd w:id="32"/>
    </w:p>
    <w:p>
      <w:pPr>
        <w:pStyle w:val="Normal"/>
        <w:spacing w:before="0" w:after="0"/>
        <w:rPr/>
      </w:pPr>
      <w:r>
        <w:rPr/>
      </w:r>
    </w:p>
    <w:p>
      <w:pPr>
        <w:pStyle w:val="Normal"/>
        <w:spacing w:before="0" w:after="0"/>
        <w:rPr>
          <w:rFonts w:cs="Calibri"/>
          <w:szCs w:val="24"/>
        </w:rPr>
      </w:pPr>
      <w:r>
        <w:rPr>
          <w:rFonts w:cs="Calibri"/>
          <w:szCs w:val="24"/>
        </w:rPr>
        <w:t xml:space="preserve">Skladište neopasnog otpada nalazi se na adresi Ulica braće Novakovića 12, Molve. Sukladno dozvoli može se skladištiti dvadeset i šest vrsta neopasnog otpada. Prihvat otpada u skladište započeo je početkom listopada 2019.god. Otpad se skladišti s područja devet jedinica lokalne samouprave Koprivničko – križevačke županije. </w:t>
      </w:r>
    </w:p>
    <w:p>
      <w:pPr>
        <w:pStyle w:val="Normal"/>
        <w:spacing w:before="0" w:after="0"/>
        <w:rPr>
          <w:rFonts w:cs="Calibri"/>
          <w:szCs w:val="24"/>
        </w:rPr>
      </w:pPr>
      <w:r>
        <w:rPr>
          <w:rFonts w:cs="Calibri"/>
          <w:szCs w:val="24"/>
        </w:rPr>
      </w:r>
    </w:p>
    <w:p>
      <w:pPr>
        <w:pStyle w:val="Stilnaslova2"/>
        <w:rPr/>
      </w:pPr>
      <w:bookmarkStart w:id="33" w:name="_Toc33778753"/>
      <w:r>
        <w:rPr/>
        <w:t>7.2. RECIKLAŽNO DVORIŠTE</w:t>
      </w:r>
      <w:bookmarkEnd w:id="33"/>
    </w:p>
    <w:p>
      <w:pPr>
        <w:pStyle w:val="Normal"/>
        <w:spacing w:before="0" w:after="0"/>
        <w:rPr/>
      </w:pPr>
      <w:r>
        <w:rPr/>
      </w:r>
    </w:p>
    <w:p>
      <w:pPr>
        <w:pStyle w:val="Normal"/>
        <w:rPr/>
      </w:pPr>
      <w:r>
        <w:rPr/>
        <w:t xml:space="preserve">Dana 26.07.2019. Izvođač, tvrtka Gradnja V.T.M d.o.o. uvedena je u posao izgradnje reciklažnog dvorišta Općine Kloštar Podravski. Radovi su planirani u trajanju od 4 mjeseca, a obuhvatit će sljedeće grupe radova: </w:t>
        <w:softHyphen/>
        <w:t xml:space="preserve"> </w:t>
      </w:r>
    </w:p>
    <w:p>
      <w:pPr>
        <w:pStyle w:val="ListParagraph"/>
        <w:numPr>
          <w:ilvl w:val="0"/>
          <w:numId w:val="12"/>
        </w:numPr>
        <w:jc w:val="both"/>
        <w:rPr>
          <w:sz w:val="24"/>
          <w:szCs w:val="24"/>
        </w:rPr>
      </w:pPr>
      <w:r>
        <w:rPr>
          <w:sz w:val="24"/>
          <w:szCs w:val="24"/>
        </w:rPr>
        <w:t xml:space="preserve">Radovi na izgradnji prometno - manipulativnih površina, </w:t>
      </w:r>
    </w:p>
    <w:p>
      <w:pPr>
        <w:pStyle w:val="ListParagraph"/>
        <w:numPr>
          <w:ilvl w:val="0"/>
          <w:numId w:val="12"/>
        </w:numPr>
        <w:jc w:val="both"/>
        <w:rPr>
          <w:sz w:val="24"/>
          <w:szCs w:val="24"/>
        </w:rPr>
      </w:pPr>
      <w:r>
        <w:rPr>
          <w:sz w:val="24"/>
          <w:szCs w:val="24"/>
        </w:rPr>
        <w:t>Radovi na izgradnji sustava vodoopskrbe i odvodnje,</w:t>
      </w:r>
    </w:p>
    <w:p>
      <w:pPr>
        <w:pStyle w:val="ListParagraph"/>
        <w:numPr>
          <w:ilvl w:val="0"/>
          <w:numId w:val="12"/>
        </w:numPr>
        <w:jc w:val="both"/>
        <w:rPr>
          <w:sz w:val="24"/>
          <w:szCs w:val="24"/>
        </w:rPr>
      </w:pPr>
      <w:r>
        <w:rPr>
          <w:sz w:val="24"/>
          <w:szCs w:val="24"/>
        </w:rPr>
        <w:t>Elektroinstalacije,</w:t>
      </w:r>
    </w:p>
    <w:p>
      <w:pPr>
        <w:pStyle w:val="ListParagraph"/>
        <w:numPr>
          <w:ilvl w:val="0"/>
          <w:numId w:val="12"/>
        </w:numPr>
        <w:jc w:val="both"/>
        <w:rPr>
          <w:sz w:val="24"/>
          <w:szCs w:val="24"/>
        </w:rPr>
      </w:pPr>
      <w:r>
        <w:rPr>
          <w:sz w:val="24"/>
          <w:szCs w:val="24"/>
        </w:rPr>
        <w:t>Izvođenje ograde,</w:t>
        <w:softHyphen/>
        <w:t xml:space="preserve"> </w:t>
      </w:r>
    </w:p>
    <w:p>
      <w:pPr>
        <w:pStyle w:val="ListParagraph"/>
        <w:numPr>
          <w:ilvl w:val="0"/>
          <w:numId w:val="12"/>
        </w:numPr>
        <w:jc w:val="both"/>
        <w:rPr>
          <w:sz w:val="24"/>
          <w:szCs w:val="24"/>
        </w:rPr>
      </w:pPr>
      <w:r>
        <w:rPr>
          <w:sz w:val="24"/>
          <w:szCs w:val="24"/>
        </w:rPr>
        <w:t>Opremanje reciklažnog dvorišta,</w:t>
        <w:softHyphen/>
        <w:t xml:space="preserve"> </w:t>
      </w:r>
    </w:p>
    <w:p>
      <w:pPr>
        <w:pStyle w:val="ListParagraph"/>
        <w:numPr>
          <w:ilvl w:val="0"/>
          <w:numId w:val="12"/>
        </w:numPr>
        <w:jc w:val="both"/>
        <w:rPr>
          <w:sz w:val="24"/>
          <w:szCs w:val="24"/>
        </w:rPr>
      </w:pPr>
      <w:r>
        <w:rPr>
          <w:sz w:val="24"/>
          <w:szCs w:val="24"/>
        </w:rPr>
        <w:t>Radovi krajobraznog uređenja.</w:t>
      </w:r>
    </w:p>
    <w:p>
      <w:pPr>
        <w:pStyle w:val="Normal"/>
        <w:spacing w:before="0" w:after="0"/>
        <w:rPr>
          <w:rFonts w:cs="Calibri"/>
        </w:rPr>
      </w:pPr>
      <w:r>
        <w:rPr>
          <w:rFonts w:cs="Calibri"/>
        </w:rPr>
        <w:t>Lokacija reciklažnog dvorišta, ukupne je površine 3.506 m</w:t>
      </w:r>
      <w:r>
        <w:rPr>
          <w:rFonts w:cs="Calibri"/>
          <w:vertAlign w:val="superscript"/>
        </w:rPr>
        <w:t>2</w:t>
      </w:r>
      <w:r>
        <w:rPr>
          <w:rFonts w:cs="Calibri"/>
        </w:rPr>
        <w:t xml:space="preserve"> , nalazi se na k.č. 999/2, k.o. Kloštar Podravski. Otvorenje reciklažnog dvorišta očekuje se u ožujku 2020.god.</w:t>
      </w:r>
    </w:p>
    <w:p>
      <w:pPr>
        <w:pStyle w:val="Normal"/>
        <w:spacing w:before="0" w:after="0"/>
        <w:rPr>
          <w:rFonts w:cs="Calibri"/>
        </w:rPr>
      </w:pPr>
      <w:r>
        <w:rPr>
          <w:rFonts w:cs="Calibri"/>
        </w:rPr>
      </w:r>
    </w:p>
    <w:p>
      <w:pPr>
        <w:pStyle w:val="Normal"/>
        <w:spacing w:before="0" w:after="0"/>
        <w:rPr>
          <w:rFonts w:cs="Calibri"/>
        </w:rPr>
      </w:pPr>
      <w:r>
        <w:rPr>
          <w:rFonts w:cs="Calibri"/>
        </w:rPr>
        <w:t xml:space="preserve">Radovi se izvode u sklopu provedbe projekta izgradnje reciklažnog dvorišta Općine Kloštar Podravski koji je sufinanciran bespovratnim sredstvima iz Kohezijskog fonda u iznosu od 4.500.000,00 Kn (81,7% prihvatljivih troškova projekta). </w:t>
      </w:r>
    </w:p>
    <w:p>
      <w:pPr>
        <w:pStyle w:val="Normal"/>
        <w:shd w:val="clear" w:color="auto" w:fill="FFFFFF"/>
        <w:spacing w:before="0" w:after="0"/>
        <w:rPr>
          <w:rFonts w:cs="Calibri"/>
          <w:szCs w:val="24"/>
          <w:lang w:eastAsia="hr-HR"/>
        </w:rPr>
      </w:pPr>
      <w:r>
        <w:rPr>
          <w:rFonts w:cs="Calibri"/>
          <w:szCs w:val="24"/>
          <w:lang w:eastAsia="hr-HR"/>
        </w:rPr>
        <w:t>Osim same izgradnje i opremanja dvorišta, dio sredstava bit će iskorišten i za informativno - obrazovne aktivnosti te aktivnosti promocije i vidljivosti.</w:t>
      </w:r>
    </w:p>
    <w:p>
      <w:pPr>
        <w:pStyle w:val="Stilnaslova1"/>
        <w:rPr>
          <w:rFonts w:cs="Calibri"/>
          <w:szCs w:val="24"/>
        </w:rPr>
      </w:pPr>
      <w:bookmarkStart w:id="34" w:name="_Toc33778754"/>
      <w:bookmarkStart w:id="35" w:name="_Toc32561121"/>
      <w:r>
        <w:rPr>
          <w:rFonts w:cs="Calibri"/>
          <w:szCs w:val="24"/>
        </w:rPr>
        <w:t>8. PODACI O LOKACIJAMA ONEČIŠĆENIM OTPADOM I NJIHOVOM UKLANJANJU</w:t>
      </w:r>
      <w:bookmarkEnd w:id="34"/>
      <w:bookmarkEnd w:id="35"/>
    </w:p>
    <w:p>
      <w:pPr>
        <w:pStyle w:val="Normal"/>
        <w:rPr>
          <w:highlight w:val="yellow"/>
        </w:rPr>
      </w:pPr>
      <w:r>
        <w:rPr>
          <w:highlight w:val="yellow"/>
        </w:rPr>
      </w:r>
    </w:p>
    <w:p>
      <w:pPr>
        <w:pStyle w:val="Normal"/>
        <w:rPr/>
      </w:pPr>
      <w:r>
        <w:rPr/>
        <w:t xml:space="preserve">Na području Općine Kloštar Podravski nisu evidentirana „divlja“ odlagališta.  </w:t>
      </w:r>
    </w:p>
    <w:p>
      <w:pPr>
        <w:pStyle w:val="Stilnaslova1"/>
        <w:rPr/>
      </w:pPr>
      <w:bookmarkStart w:id="36" w:name="_Toc33778755"/>
      <w:bookmarkStart w:id="37" w:name="_Toc32561122"/>
      <w:r>
        <w:rPr/>
        <w:t>9. MJERE POTREBNE ZA OSTVARIVANJE CILJEVA SMANJIVANJA ILI SPRJEČAVANJA NASTANKA OTPADA, UKLJUČUJUĆI IZOBRAZNO – INFORMATIVNE AKTIVNOSTI I AKCIJE PRIKUPLJANJA OTPADA</w:t>
      </w:r>
      <w:bookmarkEnd w:id="36"/>
      <w:bookmarkEnd w:id="37"/>
      <w:r>
        <w:rPr/>
        <w:t xml:space="preserve"> </w:t>
      </w:r>
    </w:p>
    <w:p>
      <w:pPr>
        <w:pStyle w:val="Normal"/>
        <w:spacing w:before="0" w:after="0"/>
        <w:rPr/>
      </w:pPr>
      <w:r>
        <w:rPr/>
      </w:r>
    </w:p>
    <w:p>
      <w:pPr>
        <w:pStyle w:val="Normal"/>
        <w:spacing w:before="0" w:after="0"/>
        <w:rPr>
          <w:color w:val="000000"/>
          <w:szCs w:val="24"/>
        </w:rPr>
      </w:pPr>
      <w:r>
        <w:rPr>
          <w:color w:val="000000"/>
          <w:szCs w:val="24"/>
        </w:rPr>
        <w:t xml:space="preserve">Mjere za sprječavanje nepropisnog odbacivanja otpada i mjere za uklanjanje odbačenog otpada Koje Općine Kloštar Podravski kontinuirano provodi na svojem području su: </w:t>
      </w:r>
    </w:p>
    <w:p>
      <w:pPr>
        <w:pStyle w:val="Normal"/>
        <w:numPr>
          <w:ilvl w:val="0"/>
          <w:numId w:val="2"/>
        </w:numPr>
        <w:spacing w:before="0" w:after="59"/>
        <w:contextualSpacing/>
        <w:rPr>
          <w:color w:val="000000"/>
          <w:szCs w:val="24"/>
          <w:lang w:val="en-US"/>
        </w:rPr>
      </w:pPr>
      <w:r>
        <w:rPr>
          <w:color w:val="000000"/>
          <w:szCs w:val="24"/>
          <w:lang w:val="en-US"/>
        </w:rPr>
        <w:t xml:space="preserve">učestala kontrola komunalnog redarstva stanja spremnika za komunalni otpad na lokacijama kod korisnika usluge i na javnim površinama, </w:t>
      </w:r>
    </w:p>
    <w:p>
      <w:pPr>
        <w:pStyle w:val="Normal"/>
        <w:numPr>
          <w:ilvl w:val="0"/>
          <w:numId w:val="2"/>
        </w:numPr>
        <w:spacing w:before="0" w:after="59"/>
        <w:contextualSpacing/>
        <w:rPr>
          <w:color w:val="000000"/>
          <w:szCs w:val="24"/>
          <w:lang w:val="en-US"/>
        </w:rPr>
      </w:pPr>
      <w:r>
        <w:rPr>
          <w:color w:val="000000"/>
          <w:szCs w:val="24"/>
          <w:lang w:val="en-US"/>
        </w:rPr>
        <w:t xml:space="preserve">postava znakova upozorenja o zabrani odbacivanja otpada na lokacijama na kojima dolazi do nepropisnog odbacivanja otpada, </w:t>
      </w:r>
    </w:p>
    <w:p>
      <w:pPr>
        <w:pStyle w:val="Normal"/>
        <w:numPr>
          <w:ilvl w:val="0"/>
          <w:numId w:val="2"/>
        </w:numPr>
        <w:spacing w:before="0" w:after="59"/>
        <w:contextualSpacing/>
        <w:rPr>
          <w:color w:val="000000"/>
          <w:szCs w:val="24"/>
          <w:lang w:val="en-US"/>
        </w:rPr>
      </w:pPr>
      <w:r>
        <w:rPr>
          <w:color w:val="000000"/>
          <w:szCs w:val="24"/>
          <w:lang w:val="en-US"/>
        </w:rPr>
        <w:t xml:space="preserve">distribucija informacija o telefonskom broju na koji je moguće prijaviti nepropisno odbacivanje otpada i informacije o načinu postupanja s komunalnim otpadom, </w:t>
      </w:r>
    </w:p>
    <w:p>
      <w:pPr>
        <w:pStyle w:val="Normal"/>
        <w:numPr>
          <w:ilvl w:val="0"/>
          <w:numId w:val="2"/>
        </w:numPr>
        <w:spacing w:before="0" w:after="59"/>
        <w:contextualSpacing/>
        <w:rPr>
          <w:color w:val="000000"/>
          <w:szCs w:val="24"/>
          <w:lang w:val="en-US"/>
        </w:rPr>
      </w:pPr>
      <w:r>
        <w:rPr>
          <w:color w:val="000000"/>
          <w:szCs w:val="24"/>
          <w:lang w:val="en-US"/>
        </w:rPr>
        <w:t xml:space="preserve">distribucija letaka o načinu zbrinjavanja otpada putem isporučitelja javne usluge prikupljanja miješanog komunalnog otpada i prikupljanja biorazgradivog komunalnog otpada, </w:t>
      </w:r>
    </w:p>
    <w:p>
      <w:pPr>
        <w:pStyle w:val="Normal"/>
        <w:numPr>
          <w:ilvl w:val="0"/>
          <w:numId w:val="2"/>
        </w:numPr>
        <w:spacing w:before="0" w:after="0"/>
        <w:contextualSpacing/>
        <w:rPr>
          <w:color w:val="000000"/>
          <w:szCs w:val="24"/>
          <w:lang w:val="en-US"/>
        </w:rPr>
      </w:pPr>
      <w:r>
        <w:rPr>
          <w:color w:val="000000"/>
          <w:szCs w:val="24"/>
          <w:lang w:val="en-US"/>
        </w:rPr>
        <w:t>periodične akcije uklanjanja nepropisano odbačenog otpada.</w:t>
      </w:r>
    </w:p>
    <w:p>
      <w:pPr>
        <w:pStyle w:val="Normal"/>
        <w:spacing w:before="0" w:after="0"/>
        <w:contextualSpacing/>
        <w:rPr>
          <w:color w:val="000000"/>
          <w:szCs w:val="24"/>
          <w:lang w:val="en-US"/>
        </w:rPr>
      </w:pPr>
      <w:r>
        <w:rPr>
          <w:color w:val="000000"/>
          <w:szCs w:val="24"/>
          <w:lang w:val="en-US"/>
        </w:rPr>
      </w:r>
    </w:p>
    <w:p>
      <w:pPr>
        <w:pStyle w:val="Stilnaslova2"/>
        <w:rPr>
          <w:lang w:eastAsia="hr-HR"/>
        </w:rPr>
      </w:pPr>
      <w:bookmarkStart w:id="38" w:name="_Toc33778756"/>
      <w:bookmarkStart w:id="39" w:name="_Toc32561124"/>
      <w:r>
        <w:rPr>
          <w:lang w:eastAsia="hr-HR"/>
        </w:rPr>
        <w:t>9.2. PROVEDENE IZOBRAZNO – INFORMATIVNE AKTIVNOSTI</w:t>
      </w:r>
      <w:bookmarkEnd w:id="38"/>
      <w:bookmarkEnd w:id="39"/>
    </w:p>
    <w:p>
      <w:pPr>
        <w:pStyle w:val="Normal"/>
        <w:spacing w:before="0" w:after="0"/>
        <w:rPr>
          <w:lang w:eastAsia="hr-HR"/>
        </w:rPr>
      </w:pPr>
      <w:r>
        <w:rPr>
          <w:lang w:eastAsia="hr-HR"/>
        </w:rPr>
      </w:r>
    </w:p>
    <w:p>
      <w:pPr>
        <w:pStyle w:val="Normal"/>
        <w:spacing w:before="0" w:after="0"/>
        <w:rPr>
          <w:rFonts w:cs="Calibri"/>
          <w:szCs w:val="24"/>
        </w:rPr>
      </w:pPr>
      <w:r>
        <w:rPr>
          <w:rFonts w:cs="Calibri"/>
          <w:szCs w:val="24"/>
        </w:rPr>
        <w:t>Što se tiče izobrazno - informativnih aktivnosti ističemo kako su svim korisnicima podijeljena su uputstva za postupanje s otpadom. Također su korisnici na kućnu adresu dobili raspored odvoza za sve vrste otpada (2 x po 6 mjeseci).</w:t>
      </w:r>
    </w:p>
    <w:p>
      <w:pPr>
        <w:pStyle w:val="Stilnaslova1"/>
        <w:rPr>
          <w:lang w:eastAsia="hr-HR"/>
        </w:rPr>
      </w:pPr>
      <w:bookmarkStart w:id="40" w:name="_Toc33778757"/>
      <w:bookmarkStart w:id="41" w:name="_Toc32561125"/>
      <w:r>
        <w:rPr>
          <w:lang w:eastAsia="hr-HR"/>
        </w:rPr>
        <w:t>10. OPĆE MJERE ZA GOSPODARENJE OTPADOM, OPASNIM OTPADOM I POSEBNIM KATEGORIJAMA OTPADA</w:t>
      </w:r>
      <w:bookmarkEnd w:id="40"/>
      <w:bookmarkEnd w:id="41"/>
    </w:p>
    <w:p>
      <w:pPr>
        <w:pStyle w:val="Normal"/>
        <w:rPr>
          <w:highlight w:val="yellow"/>
          <w:lang w:eastAsia="hr-HR"/>
        </w:rPr>
      </w:pPr>
      <w:r>
        <w:rPr>
          <w:highlight w:val="yellow"/>
          <w:lang w:eastAsia="hr-HR"/>
        </w:rPr>
      </w:r>
    </w:p>
    <w:p>
      <w:pPr>
        <w:pStyle w:val="Normal"/>
        <w:rPr>
          <w:lang w:eastAsia="hr-HR"/>
        </w:rPr>
      </w:pPr>
      <w:r>
        <w:rPr>
          <w:lang w:eastAsia="hr-HR"/>
        </w:rPr>
        <w:t xml:space="preserve">Organizirani odvoz kojeg provodi koncesionar Drava Kom d.o.o. </w:t>
      </w:r>
    </w:p>
    <w:p>
      <w:pPr>
        <w:pStyle w:val="Stilnaslova1"/>
        <w:rPr>
          <w:lang w:eastAsia="hr-HR"/>
        </w:rPr>
      </w:pPr>
      <w:bookmarkStart w:id="42" w:name="_Toc33778758"/>
      <w:bookmarkStart w:id="43" w:name="_Toc32561126"/>
      <w:r>
        <w:rPr>
          <w:lang w:eastAsia="hr-HR"/>
        </w:rPr>
        <w:t>11. MJERE PRIKUPLJANJA MIJEŠANOG KOMUNALNOG OTPADA I BIORAZGRADIVOG KOMUNALNOG OTPADA TE MJERE ODVOJENOG PRIKUPLJANJA OTPADNOG PAPIRA, METALA, STAKLA I PLASTIKE TE KRUPNOG (GLOMAZNOG) KOMUNALNOG OTPADA</w:t>
      </w:r>
      <w:bookmarkEnd w:id="42"/>
      <w:bookmarkEnd w:id="43"/>
      <w:r>
        <w:rPr>
          <w:lang w:eastAsia="hr-HR"/>
        </w:rPr>
        <w:t xml:space="preserve"> </w:t>
      </w:r>
    </w:p>
    <w:p>
      <w:pPr>
        <w:pStyle w:val="Normal"/>
        <w:tabs>
          <w:tab w:val="clear" w:pos="708"/>
          <w:tab w:val="left" w:pos="540" w:leader="none"/>
        </w:tabs>
        <w:spacing w:beforeAutospacing="1" w:afterAutospacing="1"/>
        <w:rPr>
          <w:iCs/>
          <w:szCs w:val="24"/>
          <w:lang w:eastAsia="hr-HR"/>
        </w:rPr>
      </w:pPr>
      <w:r>
        <w:rPr>
          <w:iCs/>
          <w:szCs w:val="24"/>
          <w:lang w:eastAsia="hr-HR"/>
        </w:rPr>
        <w:t>Uspostavljen je sustav organiziranog, odvojenog skupljanja otpada provedbom sljedećih mjera:</w:t>
      </w:r>
    </w:p>
    <w:p>
      <w:pPr>
        <w:pStyle w:val="Normal"/>
        <w:numPr>
          <w:ilvl w:val="0"/>
          <w:numId w:val="3"/>
        </w:numPr>
        <w:spacing w:before="0" w:after="200"/>
        <w:contextualSpacing/>
        <w:rPr>
          <w:szCs w:val="24"/>
          <w:lang w:val="en-US"/>
        </w:rPr>
      </w:pPr>
      <w:r>
        <w:rPr>
          <w:szCs w:val="24"/>
          <w:lang w:val="en-US"/>
        </w:rPr>
        <w:t>Postavljanje zelenih otoka,</w:t>
      </w:r>
    </w:p>
    <w:p>
      <w:pPr>
        <w:pStyle w:val="Normal"/>
        <w:numPr>
          <w:ilvl w:val="0"/>
          <w:numId w:val="3"/>
        </w:numPr>
        <w:spacing w:before="0" w:after="200"/>
        <w:contextualSpacing/>
        <w:rPr>
          <w:szCs w:val="24"/>
          <w:lang w:val="en-US"/>
        </w:rPr>
      </w:pPr>
      <w:r>
        <w:rPr>
          <w:szCs w:val="24"/>
          <w:lang w:val="en-US"/>
        </w:rPr>
        <w:t>Osiguranje prostora za izgradnju reciklažnog dvorišta,</w:t>
      </w:r>
    </w:p>
    <w:p>
      <w:pPr>
        <w:pStyle w:val="Normal"/>
        <w:numPr>
          <w:ilvl w:val="0"/>
          <w:numId w:val="3"/>
        </w:numPr>
        <w:spacing w:before="0" w:after="200"/>
        <w:contextualSpacing/>
        <w:rPr>
          <w:szCs w:val="24"/>
          <w:lang w:val="en-US"/>
        </w:rPr>
      </w:pPr>
      <w:r>
        <w:rPr>
          <w:szCs w:val="24"/>
          <w:lang w:val="en-US"/>
        </w:rPr>
        <w:t xml:space="preserve">Provođenje kontinuirane edukacije stanovništva Općine. </w:t>
      </w:r>
    </w:p>
    <w:p>
      <w:pPr>
        <w:pStyle w:val="Normal"/>
        <w:spacing w:before="0" w:after="200"/>
        <w:ind w:left="644" w:hanging="0"/>
        <w:contextualSpacing/>
        <w:rPr>
          <w:szCs w:val="24"/>
          <w:lang w:val="en-US"/>
        </w:rPr>
      </w:pPr>
      <w:r>
        <w:rPr>
          <w:szCs w:val="24"/>
          <w:lang w:val="en-US"/>
        </w:rPr>
      </w:r>
    </w:p>
    <w:p>
      <w:pPr>
        <w:pStyle w:val="Normal"/>
        <w:rPr>
          <w:lang w:eastAsia="hr-HR"/>
        </w:rPr>
      </w:pPr>
      <w:r>
        <w:rPr>
          <w:lang w:eastAsia="hr-HR"/>
        </w:rPr>
        <w:t>Na području Općine Kloštar Podravski miješani komunalni otpad se prikuplja putem odvojenih posuda u svakom kućanstvu „na kućnom pragu“.</w:t>
      </w:r>
    </w:p>
    <w:p>
      <w:pPr>
        <w:pStyle w:val="Normal"/>
        <w:rPr>
          <w:lang w:eastAsia="hr-HR"/>
        </w:rPr>
      </w:pPr>
      <w:r>
        <w:rPr>
          <w:lang w:eastAsia="hr-HR"/>
        </w:rPr>
        <w:t xml:space="preserve">Osigurana je javna usluga skupljanja i preuzimanja od građana odvojeno sakupljenih sastavnica miješanog komunalnog otpada korištenjem specijalnih vozila na području cijele Općine. </w:t>
      </w:r>
    </w:p>
    <w:p>
      <w:pPr>
        <w:pStyle w:val="Normal"/>
        <w:rPr>
          <w:lang w:eastAsia="hr-HR"/>
        </w:rPr>
      </w:pPr>
      <w:r>
        <w:rPr>
          <w:lang w:eastAsia="hr-HR"/>
        </w:rPr>
        <w:t xml:space="preserve">Općina kloštar Podravski uspostavila je i provodi odvojeno prikupljanje posebnih kategorija otpada, otpadnog papira, metala, stakla, plastike te krupnog (glomaznog) otpada. Prakticira se primarna reciklaža, odnosno izdvajanje iskoristivih dijelova otpada na samom mjestu nastajanja gdje stanovnici sami sortiraju otpad u posebne spremnike ili odnose otpad na zelene otoke. Krupni (glomazni) otpad odvozi se 2 puta godišnje.  </w:t>
      </w:r>
    </w:p>
    <w:p>
      <w:pPr>
        <w:pStyle w:val="Caption"/>
        <w:jc w:val="center"/>
        <w:rPr>
          <w:lang w:eastAsia="hr-HR"/>
        </w:rPr>
      </w:pPr>
      <w:bookmarkStart w:id="44" w:name="_Toc33778775"/>
      <w:r>
        <w:rPr/>
        <w:t xml:space="preserve">Tablica </w:t>
      </w:r>
      <w:r>
        <w:rPr/>
        <w:fldChar w:fldCharType="begin"/>
      </w:r>
      <w:r>
        <w:rPr/>
        <w:instrText> SEQ Tablica \* ARABIC </w:instrText>
      </w:r>
      <w:r>
        <w:rPr/>
        <w:fldChar w:fldCharType="separate"/>
      </w:r>
      <w:r>
        <w:rPr/>
        <w:t>5</w:t>
      </w:r>
      <w:r>
        <w:rPr/>
        <w:fldChar w:fldCharType="end"/>
      </w:r>
      <w:r>
        <w:rPr/>
        <w:t>: Cjenik javne usluge odvoza i zbrinjavanja miješanog komunalnog otpada u 2019.god.</w:t>
      </w:r>
      <w:bookmarkEnd w:id="44"/>
    </w:p>
    <w:tbl>
      <w:tblPr>
        <w:tblW w:w="9062" w:type="dxa"/>
        <w:jc w:val="left"/>
        <w:tblInd w:w="0" w:type="dxa"/>
        <w:tblCellMar>
          <w:top w:w="0" w:type="dxa"/>
          <w:left w:w="108" w:type="dxa"/>
          <w:bottom w:w="0" w:type="dxa"/>
          <w:right w:w="108" w:type="dxa"/>
        </w:tblCellMar>
        <w:tblLook w:val="00a0"/>
      </w:tblPr>
      <w:tblGrid>
        <w:gridCol w:w="4389"/>
        <w:gridCol w:w="2409"/>
        <w:gridCol w:w="2264"/>
      </w:tblGrid>
      <w:tr>
        <w:trPr/>
        <w:tc>
          <w:tcPr>
            <w:tcW w:w="438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lang w:eastAsia="hr-HR"/>
              </w:rPr>
            </w:pPr>
            <w:r>
              <w:rPr>
                <w:rFonts w:cs="Calibri"/>
                <w:b/>
                <w:bCs/>
                <w:sz w:val="20"/>
                <w:szCs w:val="20"/>
                <w:lang w:eastAsia="hr-HR"/>
              </w:rPr>
              <w:t>Struktura korisnika</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lang w:eastAsia="hr-HR"/>
              </w:rPr>
            </w:pPr>
            <w:r>
              <w:rPr>
                <w:rFonts w:cs="Calibri"/>
                <w:b/>
                <w:bCs/>
                <w:sz w:val="20"/>
                <w:szCs w:val="20"/>
                <w:lang w:eastAsia="hr-HR"/>
              </w:rPr>
              <w:t>Minimalna javna usluga</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lang w:eastAsia="hr-HR"/>
              </w:rPr>
            </w:pPr>
            <w:r>
              <w:rPr>
                <w:rFonts w:cs="Calibri"/>
                <w:b/>
                <w:bCs/>
                <w:sz w:val="20"/>
                <w:szCs w:val="20"/>
                <w:lang w:eastAsia="hr-HR"/>
              </w:rPr>
              <w:t>Varijabilni dio cijene</w:t>
            </w:r>
          </w:p>
        </w:tc>
      </w:tr>
      <w:tr>
        <w:trPr/>
        <w:tc>
          <w:tcPr>
            <w:tcW w:w="438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lang w:eastAsia="hr-HR"/>
              </w:rPr>
            </w:pPr>
            <w:r>
              <w:rPr>
                <w:rFonts w:cs="Calibri"/>
                <w:b/>
                <w:bCs/>
                <w:sz w:val="20"/>
                <w:szCs w:val="20"/>
                <w:lang w:eastAsia="hr-HR"/>
              </w:rPr>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lang w:eastAsia="hr-HR"/>
              </w:rPr>
            </w:pPr>
            <w:r>
              <w:rPr>
                <w:rFonts w:cs="Calibri"/>
                <w:b/>
                <w:bCs/>
                <w:sz w:val="20"/>
                <w:szCs w:val="20"/>
                <w:lang w:eastAsia="hr-HR"/>
              </w:rPr>
              <w:t>Cijena s PDV – om u kn</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b/>
                <w:b/>
                <w:bCs/>
                <w:sz w:val="20"/>
                <w:szCs w:val="20"/>
                <w:lang w:eastAsia="hr-HR"/>
              </w:rPr>
            </w:pPr>
            <w:r>
              <w:rPr>
                <w:rFonts w:cs="Calibri"/>
                <w:b/>
                <w:bCs/>
                <w:sz w:val="20"/>
                <w:szCs w:val="20"/>
                <w:lang w:eastAsia="hr-HR"/>
              </w:rPr>
              <w:t>Cijena s PDV – om u kn</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80 L MKO, jednočlana</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22,60</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80 L MKO, dvočlana</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30,51</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80 L MKO, BKO, jednočlana</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24,86</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80 L MKO, pravne osobe</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67,80</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120 L MKO, višečlana</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42,94</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120 L MKO, 120 L BKO, višečlana</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46,33</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120 L MKO, dvočlana, popust</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32,21</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120 L MKO, jednočlana, popust</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24,86</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120 L MKO, BKO, dvočlana, popust</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34,75</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120 L MKO, BKO, jednočlana, popust</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26,83</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120/80 vrećica 120 L MKO, povremeni korisnik</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22,60</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120 L MKO, pravne osobe</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79,10</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1.100 L MKO pravne osobe</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248,60</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33,90</w:t>
            </w:r>
          </w:p>
        </w:tc>
      </w:tr>
      <w:tr>
        <w:trPr/>
        <w:tc>
          <w:tcPr>
            <w:tcW w:w="4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cs="Calibri"/>
                <w:sz w:val="20"/>
                <w:szCs w:val="20"/>
                <w:lang w:eastAsia="hr-HR"/>
              </w:rPr>
            </w:pPr>
            <w:r>
              <w:rPr>
                <w:rFonts w:cs="Calibri"/>
                <w:sz w:val="20"/>
                <w:szCs w:val="20"/>
                <w:lang w:eastAsia="hr-HR"/>
              </w:rPr>
              <w:t>5.000 L MKO, pravne osobe – po pozivu</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cs="Calibri"/>
                <w:sz w:val="20"/>
                <w:szCs w:val="20"/>
                <w:lang w:eastAsia="hr-HR"/>
              </w:rPr>
            </w:pPr>
            <w:r>
              <w:rPr>
                <w:rFonts w:cs="Calibri"/>
                <w:sz w:val="20"/>
                <w:szCs w:val="20"/>
                <w:lang w:eastAsia="hr-HR"/>
              </w:rPr>
              <w:t>1.096,10</w:t>
            </w:r>
          </w:p>
        </w:tc>
      </w:tr>
    </w:tbl>
    <w:p>
      <w:pPr>
        <w:pStyle w:val="Normal"/>
        <w:spacing w:before="0" w:after="0"/>
        <w:jc w:val="center"/>
        <w:rPr>
          <w:rFonts w:cs="Calibri"/>
          <w:sz w:val="20"/>
          <w:szCs w:val="20"/>
        </w:rPr>
      </w:pPr>
      <w:r>
        <w:rPr>
          <w:rFonts w:cs="Calibri"/>
          <w:sz w:val="20"/>
          <w:szCs w:val="20"/>
        </w:rPr>
        <w:t>Izvor: Drava Kom d.o.o., veljača 2020.god.</w:t>
      </w:r>
    </w:p>
    <w:p>
      <w:pPr>
        <w:pStyle w:val="Normal"/>
        <w:spacing w:before="0" w:after="0"/>
        <w:jc w:val="center"/>
        <w:rPr>
          <w:rFonts w:cs="Calibri"/>
          <w:sz w:val="20"/>
          <w:szCs w:val="20"/>
        </w:rPr>
      </w:pPr>
      <w:r>
        <w:rPr>
          <w:rFonts w:cs="Calibri"/>
          <w:sz w:val="20"/>
          <w:szCs w:val="20"/>
        </w:rPr>
      </w:r>
    </w:p>
    <w:p>
      <w:pPr>
        <w:pStyle w:val="Caption"/>
        <w:jc w:val="center"/>
        <w:rPr>
          <w:lang w:eastAsia="hr-HR"/>
        </w:rPr>
      </w:pPr>
      <w:bookmarkStart w:id="45" w:name="_Toc33778776"/>
      <w:r>
        <w:rPr/>
        <w:t xml:space="preserve">Tablica </w:t>
      </w:r>
      <w:r>
        <w:rPr/>
        <w:fldChar w:fldCharType="begin"/>
      </w:r>
      <w:r>
        <w:rPr/>
        <w:instrText> SEQ Tablica \* ARABIC </w:instrText>
      </w:r>
      <w:r>
        <w:rPr/>
        <w:fldChar w:fldCharType="separate"/>
      </w:r>
      <w:r>
        <w:rPr/>
        <w:t>6</w:t>
      </w:r>
      <w:r>
        <w:rPr/>
        <w:fldChar w:fldCharType="end"/>
      </w:r>
      <w:r>
        <w:rPr/>
        <w:t>: Cjenik dodatne usluge odvoza otpada u 2019.god.</w:t>
      </w:r>
      <w:bookmarkEnd w:id="45"/>
    </w:p>
    <w:tbl>
      <w:tblPr>
        <w:tblW w:w="9067" w:type="dxa"/>
        <w:jc w:val="left"/>
        <w:tblInd w:w="0" w:type="dxa"/>
        <w:tblCellMar>
          <w:top w:w="0" w:type="dxa"/>
          <w:left w:w="108" w:type="dxa"/>
          <w:bottom w:w="0" w:type="dxa"/>
          <w:right w:w="108" w:type="dxa"/>
        </w:tblCellMar>
        <w:tblLook w:val="00a0"/>
      </w:tblPr>
      <w:tblGrid>
        <w:gridCol w:w="6798"/>
        <w:gridCol w:w="2268"/>
      </w:tblGrid>
      <w:tr>
        <w:trPr/>
        <w:tc>
          <w:tcPr>
            <w:tcW w:w="6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bCs/>
                <w:sz w:val="20"/>
                <w:szCs w:val="20"/>
                <w:lang w:eastAsia="hr-HR"/>
              </w:rPr>
            </w:pPr>
            <w:r>
              <w:rPr>
                <w:b/>
                <w:bCs/>
                <w:sz w:val="20"/>
                <w:szCs w:val="20"/>
                <w:lang w:eastAsia="hr-HR"/>
              </w:rPr>
              <w:t>Dodatna usluga odvoza otpada</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bCs/>
                <w:sz w:val="20"/>
                <w:szCs w:val="20"/>
                <w:lang w:eastAsia="hr-HR"/>
              </w:rPr>
            </w:pPr>
            <w:r>
              <w:rPr>
                <w:b/>
                <w:bCs/>
                <w:sz w:val="20"/>
                <w:szCs w:val="20"/>
                <w:lang w:eastAsia="hr-HR"/>
              </w:rPr>
              <w:t>Cijena jednog dodatnog odvoza s PDV – om u kn</w:t>
            </w:r>
          </w:p>
        </w:tc>
      </w:tr>
      <w:tr>
        <w:trPr/>
        <w:tc>
          <w:tcPr>
            <w:tcW w:w="6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0"/>
                <w:szCs w:val="20"/>
                <w:lang w:eastAsia="hr-HR"/>
              </w:rPr>
            </w:pPr>
            <w:r>
              <w:rPr>
                <w:sz w:val="20"/>
                <w:szCs w:val="20"/>
                <w:lang w:eastAsia="hr-HR"/>
              </w:rPr>
              <w:t>Vreća 120 L za MKO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sz w:val="20"/>
                <w:szCs w:val="20"/>
                <w:lang w:eastAsia="hr-HR"/>
              </w:rPr>
            </w:pPr>
            <w:r>
              <w:rPr>
                <w:sz w:val="20"/>
                <w:szCs w:val="20"/>
                <w:lang w:eastAsia="hr-HR"/>
              </w:rPr>
              <w:t>18,08</w:t>
            </w:r>
          </w:p>
        </w:tc>
      </w:tr>
      <w:tr>
        <w:trPr/>
        <w:tc>
          <w:tcPr>
            <w:tcW w:w="6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0"/>
                <w:szCs w:val="20"/>
                <w:lang w:eastAsia="hr-HR"/>
              </w:rPr>
            </w:pPr>
            <w:r>
              <w:rPr>
                <w:sz w:val="20"/>
                <w:szCs w:val="20"/>
                <w:lang w:eastAsia="hr-HR"/>
              </w:rPr>
              <w:t>Vreća 120 L za biootpad</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sz w:val="20"/>
                <w:szCs w:val="20"/>
                <w:lang w:eastAsia="hr-HR"/>
              </w:rPr>
            </w:pPr>
            <w:r>
              <w:rPr>
                <w:sz w:val="20"/>
                <w:szCs w:val="20"/>
                <w:lang w:eastAsia="hr-HR"/>
              </w:rPr>
              <w:t>18,08</w:t>
            </w:r>
          </w:p>
        </w:tc>
      </w:tr>
      <w:tr>
        <w:trPr/>
        <w:tc>
          <w:tcPr>
            <w:tcW w:w="6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0"/>
                <w:szCs w:val="20"/>
                <w:lang w:eastAsia="hr-HR"/>
              </w:rPr>
            </w:pPr>
            <w:r>
              <w:rPr>
                <w:sz w:val="20"/>
                <w:szCs w:val="20"/>
                <w:lang w:eastAsia="hr-HR"/>
              </w:rPr>
              <w:t>Odvoz i zbrinjavanje glomaznog otpada iznad 4m</w:t>
            </w:r>
            <w:r>
              <w:rPr>
                <w:sz w:val="20"/>
                <w:szCs w:val="20"/>
                <w:vertAlign w:val="superscript"/>
                <w:lang w:eastAsia="hr-HR"/>
              </w:rPr>
              <w:t>3</w:t>
            </w:r>
            <w:r>
              <w:rPr>
                <w:sz w:val="20"/>
                <w:szCs w:val="20"/>
                <w:lang w:eastAsia="hr-HR"/>
              </w:rPr>
              <w:t xml:space="preserve"> (za svaki sljedeći 1m</w:t>
            </w:r>
            <w:r>
              <w:rPr>
                <w:sz w:val="20"/>
                <w:szCs w:val="20"/>
                <w:vertAlign w:val="superscript"/>
                <w:lang w:eastAsia="hr-HR"/>
              </w:rPr>
              <w:t>3</w:t>
            </w:r>
            <w:r>
              <w:rPr>
                <w:sz w:val="20"/>
                <w:szCs w:val="20"/>
                <w:lang w:eastAsia="hr-HR"/>
              </w:rPr>
              <w:t>)</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sz w:val="20"/>
                <w:szCs w:val="20"/>
                <w:lang w:eastAsia="hr-HR"/>
              </w:rPr>
            </w:pPr>
            <w:r>
              <w:rPr>
                <w:sz w:val="20"/>
                <w:szCs w:val="20"/>
                <w:lang w:eastAsia="hr-HR"/>
              </w:rPr>
              <w:t>169,50</w:t>
            </w:r>
          </w:p>
        </w:tc>
      </w:tr>
    </w:tbl>
    <w:p>
      <w:pPr>
        <w:pStyle w:val="Normal"/>
        <w:spacing w:before="0" w:after="0"/>
        <w:jc w:val="center"/>
        <w:rPr>
          <w:rFonts w:cs="Calibri"/>
          <w:sz w:val="20"/>
          <w:szCs w:val="20"/>
        </w:rPr>
      </w:pPr>
      <w:r>
        <w:rPr>
          <w:rFonts w:cs="Calibri"/>
          <w:sz w:val="20"/>
          <w:szCs w:val="20"/>
        </w:rPr>
        <w:t>Izvor: Drava Kom d.o.o., veljača 2020.god.</w:t>
      </w:r>
    </w:p>
    <w:p>
      <w:pPr>
        <w:pStyle w:val="Stilnaslova1"/>
        <w:rPr/>
      </w:pPr>
      <w:bookmarkStart w:id="46" w:name="_Toc33778759"/>
      <w:bookmarkStart w:id="47" w:name="_Toc32561127"/>
      <w:r>
        <w:rPr/>
        <w:t>12.  POPIS PROJEKATA ZA PROVEDBU ODREDBI PLANA, ORGANIZACIJSKI ASPEKTI, IZVORI I VISINA FINANCIJSKIH SREDSTVA ZA PROVEDBU MJERA GOSPODARENJA OTPADOM</w:t>
      </w:r>
      <w:bookmarkEnd w:id="46"/>
      <w:bookmarkEnd w:id="47"/>
    </w:p>
    <w:p>
      <w:pPr>
        <w:pStyle w:val="Normal"/>
        <w:spacing w:before="0" w:after="0"/>
        <w:rPr/>
      </w:pPr>
      <w:r>
        <w:rPr/>
      </w:r>
    </w:p>
    <w:p>
      <w:pPr>
        <w:pStyle w:val="Normal"/>
        <w:spacing w:before="0" w:after="0"/>
        <w:rPr>
          <w:rFonts w:eastAsia="CIDFont+F2" w:cs="Calibri"/>
          <w:szCs w:val="24"/>
        </w:rPr>
      </w:pPr>
      <w:r>
        <w:rPr>
          <w:rFonts w:eastAsia="CIDFont+F2" w:cs="Calibri"/>
          <w:szCs w:val="24"/>
        </w:rPr>
        <w:t>Za provedbu plana od značaja su sljedeći projekti:</w:t>
      </w:r>
    </w:p>
    <w:p>
      <w:pPr>
        <w:pStyle w:val="ListParagraph"/>
        <w:numPr>
          <w:ilvl w:val="0"/>
          <w:numId w:val="13"/>
        </w:numPr>
        <w:spacing w:before="0" w:after="0"/>
        <w:contextualSpacing/>
        <w:jc w:val="both"/>
        <w:rPr>
          <w:rFonts w:eastAsia="CIDFont+F2" w:cs="Calibri"/>
          <w:sz w:val="24"/>
          <w:szCs w:val="24"/>
        </w:rPr>
      </w:pPr>
      <w:r>
        <w:rPr>
          <w:rFonts w:eastAsia="CIDFont+F2" w:cs="Calibri"/>
          <w:sz w:val="24"/>
          <w:szCs w:val="24"/>
        </w:rPr>
        <w:t>Projekt sanacije odlagališta otpada „Peski“,</w:t>
      </w:r>
    </w:p>
    <w:p>
      <w:pPr>
        <w:pStyle w:val="ListParagraph"/>
        <w:numPr>
          <w:ilvl w:val="0"/>
          <w:numId w:val="13"/>
        </w:numPr>
        <w:spacing w:before="0" w:after="0"/>
        <w:contextualSpacing/>
        <w:jc w:val="both"/>
        <w:rPr>
          <w:rFonts w:eastAsia="CIDFont+F2" w:cs="Calibri"/>
          <w:sz w:val="24"/>
          <w:szCs w:val="24"/>
        </w:rPr>
      </w:pPr>
      <w:r>
        <w:rPr>
          <w:rFonts w:eastAsia="CIDFont+F2" w:cs="Calibri"/>
          <w:sz w:val="24"/>
          <w:szCs w:val="24"/>
        </w:rPr>
        <w:t>Projekt izgradnje RD-a i nabave mobilnog RD-a,</w:t>
      </w:r>
    </w:p>
    <w:p>
      <w:pPr>
        <w:pStyle w:val="ListParagraph"/>
        <w:numPr>
          <w:ilvl w:val="0"/>
          <w:numId w:val="13"/>
        </w:numPr>
        <w:spacing w:before="0" w:after="0"/>
        <w:contextualSpacing/>
        <w:jc w:val="both"/>
        <w:rPr>
          <w:rFonts w:eastAsia="CIDFont+F2" w:cs="Calibri"/>
          <w:sz w:val="24"/>
          <w:szCs w:val="24"/>
        </w:rPr>
      </w:pPr>
      <w:r>
        <w:rPr>
          <w:rFonts w:eastAsia="CIDFont+F2" w:cs="Calibri"/>
          <w:sz w:val="24"/>
          <w:szCs w:val="24"/>
        </w:rPr>
        <w:t>Nadogradnja sustava odvojenog prikupljanja otpada putem dodatnih spremnika u svakom domaćinstvu,</w:t>
      </w:r>
    </w:p>
    <w:p>
      <w:pPr>
        <w:pStyle w:val="ListParagraph"/>
        <w:numPr>
          <w:ilvl w:val="0"/>
          <w:numId w:val="13"/>
        </w:numPr>
        <w:spacing w:before="0" w:after="0"/>
        <w:contextualSpacing/>
        <w:jc w:val="both"/>
        <w:rPr>
          <w:rFonts w:eastAsia="CIDFont+F2" w:cs="Calibri"/>
          <w:sz w:val="24"/>
          <w:szCs w:val="24"/>
        </w:rPr>
      </w:pPr>
      <w:r>
        <w:rPr>
          <w:rFonts w:eastAsia="CIDFont+F2" w:cs="Calibri"/>
          <w:sz w:val="24"/>
          <w:szCs w:val="24"/>
        </w:rPr>
        <w:t>Provođenje izobrazno-informativnih aktivnosti,</w:t>
      </w:r>
    </w:p>
    <w:p>
      <w:pPr>
        <w:pStyle w:val="ListParagraph"/>
        <w:numPr>
          <w:ilvl w:val="0"/>
          <w:numId w:val="13"/>
        </w:numPr>
        <w:spacing w:before="0" w:after="0"/>
        <w:contextualSpacing/>
        <w:jc w:val="both"/>
        <w:rPr>
          <w:rFonts w:eastAsia="CIDFont+F2" w:cs="Calibri"/>
          <w:sz w:val="24"/>
          <w:szCs w:val="24"/>
        </w:rPr>
      </w:pPr>
      <w:r>
        <w:rPr>
          <w:rFonts w:eastAsia="CIDFont+F2" w:cs="Calibri"/>
          <w:sz w:val="24"/>
          <w:szCs w:val="24"/>
        </w:rPr>
        <w:t>Plan izgradnje Regionalnog centra gospodarenja otpadom SZ Hrvatske - projekt na području druge jedinice lokalne samouprave, ali koji indirektno utječu na cjelokupni razvoj sustava</w:t>
      </w:r>
    </w:p>
    <w:p>
      <w:pPr>
        <w:pStyle w:val="Normal"/>
        <w:spacing w:before="0" w:after="0"/>
        <w:rPr>
          <w:rFonts w:eastAsia="CIDFont+F2" w:cs="Calibri"/>
          <w:szCs w:val="24"/>
        </w:rPr>
      </w:pPr>
      <w:r>
        <w:rPr>
          <w:rFonts w:eastAsia="CIDFont+F2" w:cs="Calibri"/>
          <w:szCs w:val="24"/>
        </w:rPr>
      </w:r>
    </w:p>
    <w:p>
      <w:pPr>
        <w:pStyle w:val="Normal"/>
        <w:spacing w:before="0" w:after="0"/>
        <w:rPr>
          <w:rFonts w:eastAsia="CIDFont+F2" w:cs="Calibri"/>
          <w:szCs w:val="24"/>
        </w:rPr>
      </w:pPr>
      <w:r>
        <w:rPr>
          <w:rFonts w:eastAsia="CIDFont+F2" w:cs="Calibri"/>
          <w:szCs w:val="24"/>
        </w:rPr>
      </w:r>
    </w:p>
    <w:p>
      <w:pPr>
        <w:pStyle w:val="Normal"/>
        <w:spacing w:before="0" w:after="0"/>
        <w:rPr>
          <w:rFonts w:eastAsia="CIDFont+F2" w:cs="Calibri"/>
          <w:szCs w:val="24"/>
        </w:rPr>
      </w:pPr>
      <w:r>
        <w:rPr>
          <w:rFonts w:eastAsia="CIDFont+F2" w:cs="Calibri"/>
          <w:szCs w:val="24"/>
        </w:rPr>
      </w:r>
    </w:p>
    <w:p>
      <w:pPr>
        <w:pStyle w:val="Stilnaslova1"/>
        <w:rPr/>
      </w:pPr>
      <w:bookmarkStart w:id="48" w:name="_Toc33778760"/>
      <w:bookmarkStart w:id="49" w:name="_Toc32561128"/>
      <w:r>
        <w:rPr/>
        <w:t>13. ROKOVI I NOSITELJI IZVRŠENJA PLAN GOSPODARENJA OTPADOM OPĆINE</w:t>
      </w:r>
      <w:bookmarkEnd w:id="49"/>
      <w:r>
        <w:rPr/>
        <w:t xml:space="preserve"> KLOŠTAR PODRAVSKI U 2019.GOD.</w:t>
      </w:r>
      <w:bookmarkEnd w:id="48"/>
    </w:p>
    <w:p>
      <w:pPr>
        <w:pStyle w:val="Normal"/>
        <w:rPr/>
      </w:pPr>
      <w:r>
        <w:rPr/>
      </w:r>
    </w:p>
    <w:p>
      <w:pPr>
        <w:pStyle w:val="Caption"/>
        <w:jc w:val="center"/>
        <w:rPr/>
      </w:pPr>
      <w:bookmarkStart w:id="50" w:name="_Toc33778777"/>
      <w:r>
        <w:rPr/>
        <w:t xml:space="preserve">Tablica </w:t>
      </w:r>
      <w:r>
        <w:rPr/>
        <w:fldChar w:fldCharType="begin"/>
      </w:r>
      <w:r>
        <w:rPr/>
        <w:instrText> SEQ Tablica \* ARABIC </w:instrText>
      </w:r>
      <w:r>
        <w:rPr/>
        <w:fldChar w:fldCharType="separate"/>
      </w:r>
      <w:r>
        <w:rPr/>
        <w:t>7</w:t>
      </w:r>
      <w:r>
        <w:rPr/>
        <w:fldChar w:fldCharType="end"/>
      </w:r>
      <w:r>
        <w:rPr/>
        <w:t>: Pregled izvršenja aktivnosti po PGO - u Općine Kloštar Podravski za 2019.god.</w:t>
      </w:r>
      <w:bookmarkEnd w:id="50"/>
    </w:p>
    <w:tbl>
      <w:tblPr>
        <w:tblW w:w="9061" w:type="dxa"/>
        <w:jc w:val="left"/>
        <w:tblInd w:w="0" w:type="dxa"/>
        <w:tblCellMar>
          <w:top w:w="0" w:type="dxa"/>
          <w:left w:w="108" w:type="dxa"/>
          <w:bottom w:w="0" w:type="dxa"/>
          <w:right w:w="108" w:type="dxa"/>
        </w:tblCellMar>
        <w:tblLook w:val="00a0"/>
      </w:tblPr>
      <w:tblGrid>
        <w:gridCol w:w="1510"/>
        <w:gridCol w:w="1510"/>
        <w:gridCol w:w="1508"/>
        <w:gridCol w:w="1510"/>
        <w:gridCol w:w="1510"/>
        <w:gridCol w:w="1512"/>
      </w:tblGrid>
      <w:tr>
        <w:trPr/>
        <w:tc>
          <w:tcPr>
            <w:tcW w:w="151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bCs/>
                <w:sz w:val="20"/>
                <w:szCs w:val="20"/>
              </w:rPr>
            </w:pPr>
            <w:r>
              <w:rPr>
                <w:b/>
                <w:bCs/>
                <w:sz w:val="20"/>
                <w:szCs w:val="20"/>
              </w:rPr>
              <w:t>Aktivnosti</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bCs/>
                <w:sz w:val="20"/>
                <w:szCs w:val="20"/>
              </w:rPr>
            </w:pPr>
            <w:r>
              <w:rPr>
                <w:b/>
                <w:bCs/>
                <w:sz w:val="20"/>
                <w:szCs w:val="20"/>
              </w:rPr>
              <w:t>Godina</w:t>
            </w:r>
          </w:p>
        </w:tc>
        <w:tc>
          <w:tcPr>
            <w:tcW w:w="15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bCs/>
                <w:sz w:val="20"/>
                <w:szCs w:val="20"/>
              </w:rPr>
            </w:pPr>
            <w:r>
              <w:rPr>
                <w:b/>
                <w:bCs/>
                <w:sz w:val="20"/>
                <w:szCs w:val="20"/>
              </w:rPr>
              <w:t>Iznos financijskih sredstava u kn</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bCs/>
                <w:sz w:val="20"/>
                <w:szCs w:val="20"/>
              </w:rPr>
            </w:pPr>
            <w:r>
              <w:rPr>
                <w:b/>
                <w:bCs/>
                <w:sz w:val="20"/>
                <w:szCs w:val="20"/>
              </w:rPr>
              <w:t>Nositelj izvedbe</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bCs/>
                <w:sz w:val="20"/>
                <w:szCs w:val="20"/>
              </w:rPr>
            </w:pPr>
            <w:r>
              <w:rPr>
                <w:b/>
                <w:bCs/>
                <w:sz w:val="20"/>
                <w:szCs w:val="20"/>
              </w:rPr>
              <w:t>Izvršeno</w:t>
            </w:r>
          </w:p>
          <w:p>
            <w:pPr>
              <w:pStyle w:val="Normal"/>
              <w:spacing w:lineRule="auto" w:line="240" w:before="0" w:after="0"/>
              <w:jc w:val="center"/>
              <w:rPr>
                <w:b/>
                <w:b/>
                <w:bCs/>
                <w:sz w:val="20"/>
                <w:szCs w:val="20"/>
              </w:rPr>
            </w:pPr>
            <w:r>
              <w:rPr>
                <w:b/>
                <w:bCs/>
                <w:sz w:val="20"/>
                <w:szCs w:val="20"/>
              </w:rPr>
              <w:t>Da / Ne / Djelomično</w:t>
            </w:r>
          </w:p>
        </w:tc>
        <w:tc>
          <w:tcPr>
            <w:tcW w:w="15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bCs/>
                <w:sz w:val="20"/>
                <w:szCs w:val="20"/>
              </w:rPr>
            </w:pPr>
            <w:r>
              <w:rPr>
                <w:b/>
                <w:bCs/>
                <w:sz w:val="20"/>
                <w:szCs w:val="20"/>
              </w:rPr>
              <w:t>Utrošeno financijskih sredstava u kn</w:t>
            </w:r>
          </w:p>
        </w:tc>
      </w:tr>
      <w:tr>
        <w:trPr/>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sz w:val="20"/>
                <w:szCs w:val="20"/>
              </w:rPr>
            </w:pPr>
            <w:r>
              <w:rPr>
                <w:sz w:val="20"/>
                <w:szCs w:val="20"/>
              </w:rPr>
              <w:t>Zeleni otoci</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2019.</w:t>
            </w:r>
          </w:p>
        </w:tc>
        <w:tc>
          <w:tcPr>
            <w:tcW w:w="15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15.000,00</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Općina Kloštar Podravski, Drava Kom d.o.o.</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r>
          </w:p>
        </w:tc>
      </w:tr>
      <w:tr>
        <w:trPr/>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sz w:val="20"/>
                <w:szCs w:val="20"/>
              </w:rPr>
            </w:pPr>
            <w:r>
              <w:rPr>
                <w:sz w:val="20"/>
                <w:szCs w:val="20"/>
              </w:rPr>
              <w:t>Odvojeno sakupljanje – spremnici na kućnom pragu</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2019.</w:t>
            </w:r>
          </w:p>
        </w:tc>
        <w:tc>
          <w:tcPr>
            <w:tcW w:w="15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15.000,00</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Općina Kloštar Podravski, Drava Kom d.o.o.</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r>
          </w:p>
        </w:tc>
      </w:tr>
      <w:tr>
        <w:trPr/>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sz w:val="20"/>
                <w:szCs w:val="20"/>
              </w:rPr>
            </w:pPr>
            <w:r>
              <w:rPr>
                <w:sz w:val="20"/>
                <w:szCs w:val="20"/>
              </w:rPr>
              <w:t>Informiranje javnosti o gospodarenju otpadom</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2019.</w:t>
            </w:r>
          </w:p>
        </w:tc>
        <w:tc>
          <w:tcPr>
            <w:tcW w:w="15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20.000,00</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Općina Kloštar Podravski, Drava Kom d.o.o., škola, vrtić, NO</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r>
          </w:p>
        </w:tc>
      </w:tr>
      <w:tr>
        <w:trPr/>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sz w:val="20"/>
                <w:szCs w:val="20"/>
              </w:rPr>
            </w:pPr>
            <w:r>
              <w:rPr>
                <w:sz w:val="20"/>
                <w:szCs w:val="20"/>
              </w:rPr>
              <w:t>Praćenje stanja okoliša (monitoring)</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2019.</w:t>
            </w:r>
          </w:p>
        </w:tc>
        <w:tc>
          <w:tcPr>
            <w:tcW w:w="15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5.000,00</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Općina Kloštar Podravski</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r>
          </w:p>
        </w:tc>
      </w:tr>
      <w:tr>
        <w:trPr/>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sz w:val="20"/>
                <w:szCs w:val="20"/>
              </w:rPr>
            </w:pPr>
            <w:r>
              <w:rPr>
                <w:sz w:val="20"/>
                <w:szCs w:val="20"/>
              </w:rPr>
              <w:t>Sanacija odlagališta „Peski“</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2019.</w:t>
            </w:r>
          </w:p>
        </w:tc>
        <w:tc>
          <w:tcPr>
            <w:tcW w:w="15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1.000.000,00</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t>Općina Kloštar Podravski</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r>
          </w:p>
        </w:tc>
        <w:tc>
          <w:tcPr>
            <w:tcW w:w="15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sz w:val="20"/>
                <w:szCs w:val="20"/>
              </w:rPr>
            </w:pPr>
            <w:r>
              <w:rPr>
                <w:sz w:val="20"/>
                <w:szCs w:val="20"/>
              </w:rPr>
            </w:r>
          </w:p>
        </w:tc>
      </w:tr>
    </w:tbl>
    <w:p>
      <w:pPr>
        <w:pStyle w:val="Stilnaslova1"/>
        <w:rPr/>
      </w:pPr>
      <w:r>
        <w:rPr/>
      </w:r>
    </w:p>
    <w:p>
      <w:pPr>
        <w:pStyle w:val="Stilnaslova1"/>
        <w:rPr/>
      </w:pPr>
      <w:r>
        <w:rPr/>
      </w:r>
    </w:p>
    <w:p>
      <w:pPr>
        <w:pStyle w:val="Stilnaslova1"/>
        <w:rPr/>
      </w:pPr>
      <w:r>
        <w:rPr/>
      </w:r>
    </w:p>
    <w:p>
      <w:pPr>
        <w:pStyle w:val="Stilnaslova1"/>
        <w:rPr/>
      </w:pPr>
      <w:r>
        <w:rPr/>
      </w:r>
    </w:p>
    <w:p>
      <w:pPr>
        <w:pStyle w:val="Stilnaslova1"/>
        <w:rPr/>
      </w:pPr>
      <w:r>
        <w:rPr/>
      </w:r>
    </w:p>
    <w:p>
      <w:pPr>
        <w:pStyle w:val="Stilnaslova1"/>
        <w:rPr/>
      </w:pPr>
      <w:r>
        <w:rPr/>
      </w:r>
    </w:p>
    <w:p>
      <w:pPr>
        <w:pStyle w:val="Normal"/>
        <w:rPr/>
      </w:pPr>
      <w:r>
        <w:rPr/>
      </w:r>
    </w:p>
    <w:p>
      <w:pPr>
        <w:pStyle w:val="Normal"/>
        <w:rPr/>
      </w:pPr>
      <w:r>
        <w:rPr/>
      </w:r>
    </w:p>
    <w:p>
      <w:pPr>
        <w:pStyle w:val="Stilnaslova1"/>
        <w:rPr/>
      </w:pPr>
      <w:r>
        <w:rPr/>
        <w:t>14. ZAKLJUČAK</w:t>
      </w:r>
    </w:p>
    <w:p>
      <w:pPr>
        <w:pStyle w:val="Normal"/>
        <w:spacing w:before="0" w:after="0"/>
        <w:rPr/>
      </w:pPr>
      <w:r>
        <w:rPr/>
      </w:r>
    </w:p>
    <w:p>
      <w:pPr>
        <w:pStyle w:val="Normal"/>
        <w:spacing w:before="0" w:after="0"/>
        <w:rPr>
          <w:rFonts w:cs="Calibri"/>
          <w:szCs w:val="24"/>
        </w:rPr>
      </w:pPr>
      <w:r>
        <w:rPr>
          <w:rFonts w:cs="Calibri"/>
          <w:szCs w:val="24"/>
        </w:rPr>
        <w:t xml:space="preserve">Sustav gospodarenja otpadom na području općine Kloštar Podravski je uspostavljen. Svrha uspostave sustava bila je osigurati organizirano prikupljanje miješanog komunalnog otpada te poticati korisnike na odvojeno prikupljanje korisnog otpada, odnosno otpada koji se može ponovo uporabiti. </w:t>
      </w:r>
    </w:p>
    <w:p>
      <w:pPr>
        <w:pStyle w:val="Normal"/>
        <w:spacing w:before="0" w:after="0"/>
        <w:rPr>
          <w:rFonts w:cs="Calibri"/>
          <w:szCs w:val="24"/>
        </w:rPr>
      </w:pPr>
      <w:r>
        <w:rPr>
          <w:rFonts w:cs="Calibri"/>
          <w:szCs w:val="24"/>
        </w:rPr>
        <w:t xml:space="preserve">Kroz osiguranje preduvjeta za ispunjenje tih ciljeva Općina Kloštar Podravski i tvrtka Drava Kom d.o.o. zajednički su stvorili preduvjete za kvalitetno pružanje ove javne usluge kako bi ta usluga bila postojana i ekonomski održiva. </w:t>
      </w:r>
    </w:p>
    <w:p>
      <w:pPr>
        <w:pStyle w:val="Normal"/>
        <w:spacing w:before="0" w:after="0"/>
        <w:rPr>
          <w:rFonts w:cs="Calibri"/>
          <w:szCs w:val="24"/>
        </w:rPr>
      </w:pPr>
      <w:r>
        <w:rPr>
          <w:rFonts w:cs="Calibri"/>
          <w:szCs w:val="24"/>
        </w:rPr>
        <w:t>U predstojećem razdoblju, potrebno je nastaviti s nadogradnjom sustava s ciljem smanjenja količina otpada u nastanku. U tome će važnu kariku činiti daljnja edukacija korisnika o pravilnom postupanju s otpadom.</w:t>
      </w:r>
    </w:p>
    <w:p>
      <w:pPr>
        <w:pStyle w:val="Normal"/>
        <w:spacing w:before="0" w:after="0"/>
        <w:rPr>
          <w:rFonts w:cs="Calibri"/>
          <w:szCs w:val="24"/>
        </w:rPr>
      </w:pPr>
      <w:r>
        <w:rPr>
          <w:rFonts w:cs="Calibri"/>
          <w:szCs w:val="24"/>
        </w:rPr>
      </w:r>
    </w:p>
    <w:p>
      <w:pPr>
        <w:pStyle w:val="Normal"/>
        <w:spacing w:before="0" w:after="0"/>
        <w:rPr>
          <w:rFonts w:ascii="Times New Roman" w:hAnsi="Times New Roman"/>
          <w:szCs w:val="24"/>
        </w:rPr>
      </w:pPr>
      <w:r>
        <w:rPr>
          <w:rFonts w:ascii="Times New Roman" w:hAnsi="Times New Roman"/>
          <w:szCs w:val="24"/>
        </w:rPr>
        <w:t>KLASA: 351-01/20-01/02</w:t>
      </w:r>
    </w:p>
    <w:p>
      <w:pPr>
        <w:pStyle w:val="Normal"/>
        <w:spacing w:before="0" w:after="0"/>
        <w:rPr>
          <w:rFonts w:ascii="Times New Roman" w:hAnsi="Times New Roman"/>
          <w:szCs w:val="24"/>
        </w:rPr>
      </w:pPr>
      <w:r>
        <w:rPr>
          <w:rFonts w:ascii="Times New Roman" w:hAnsi="Times New Roman"/>
          <w:szCs w:val="24"/>
        </w:rPr>
        <w:t>URBROJ: 2137/16-20-01</w:t>
      </w:r>
    </w:p>
    <w:p>
      <w:pPr>
        <w:pStyle w:val="Normal"/>
        <w:spacing w:before="0" w:after="0"/>
        <w:rPr>
          <w:rFonts w:ascii="Times New Roman" w:hAnsi="Times New Roman"/>
          <w:szCs w:val="24"/>
        </w:rPr>
      </w:pPr>
      <w:r>
        <w:rPr>
          <w:rFonts w:ascii="Times New Roman" w:hAnsi="Times New Roman"/>
          <w:szCs w:val="24"/>
        </w:rPr>
        <w:t>Kloštar Podravski, 16</w:t>
      </w:r>
      <w:bookmarkStart w:id="51" w:name="_GoBack"/>
      <w:bookmarkEnd w:id="51"/>
      <w:r>
        <w:rPr>
          <w:rFonts w:ascii="Times New Roman" w:hAnsi="Times New Roman"/>
          <w:szCs w:val="24"/>
        </w:rPr>
        <w:t>. ožujka  2020.</w:t>
      </w:r>
    </w:p>
    <w:p>
      <w:pPr>
        <w:pStyle w:val="Normal"/>
        <w:spacing w:before="0" w:after="0"/>
        <w:rPr>
          <w:rFonts w:ascii="Times New Roman" w:hAnsi="Times New Roman"/>
          <w:szCs w:val="24"/>
        </w:rPr>
      </w:pPr>
      <w:r>
        <w:rPr>
          <w:rFonts w:ascii="Times New Roman" w:hAnsi="Times New Roman"/>
          <w:szCs w:val="24"/>
        </w:rPr>
      </w:r>
    </w:p>
    <w:p>
      <w:pPr>
        <w:pStyle w:val="Normal"/>
        <w:spacing w:before="0" w:after="0"/>
        <w:jc w:val="right"/>
        <w:rPr>
          <w:rFonts w:cs="Calibri"/>
          <w:szCs w:val="24"/>
        </w:rPr>
      </w:pPr>
      <w:r>
        <w:rPr>
          <w:rFonts w:cs="Calibri"/>
          <w:szCs w:val="24"/>
        </w:rPr>
      </w:r>
    </w:p>
    <w:p>
      <w:pPr>
        <w:pStyle w:val="Normal"/>
        <w:spacing w:before="0" w:after="0"/>
        <w:jc w:val="right"/>
        <w:rPr>
          <w:rFonts w:cs="Calibri"/>
          <w:szCs w:val="24"/>
        </w:rPr>
      </w:pPr>
      <w:r>
        <w:rPr>
          <w:rFonts w:cs="Calibri"/>
          <w:szCs w:val="24"/>
        </w:rPr>
        <w:t>Općinski načelnik:</w:t>
      </w:r>
    </w:p>
    <w:p>
      <w:pPr>
        <w:pStyle w:val="Normal"/>
        <w:spacing w:before="0" w:after="0"/>
        <w:jc w:val="right"/>
        <w:rPr>
          <w:rFonts w:cs="Calibri"/>
          <w:szCs w:val="24"/>
        </w:rPr>
      </w:pPr>
      <w:r>
        <w:rPr>
          <w:rFonts w:cs="Calibri"/>
          <w:szCs w:val="24"/>
        </w:rPr>
        <w:t>Siniša Pavlović</w:t>
      </w:r>
    </w:p>
    <w:p>
      <w:pPr>
        <w:pStyle w:val="Normal"/>
        <w:widowControl/>
        <w:bidi w:val="0"/>
        <w:spacing w:lineRule="auto" w:line="276" w:before="0" w:after="200"/>
        <w:jc w:val="both"/>
        <w:rPr/>
      </w:pPr>
      <w:r>
        <w:rPr/>
      </w:r>
    </w:p>
    <w:sectPr>
      <w:headerReference w:type="default" r:id="rId3"/>
      <w:footerReference w:type="default" r:id="rId4"/>
      <w:type w:val="nextPage"/>
      <w:pgSz w:w="11906" w:h="16838"/>
      <w:pgMar w:left="1417" w:right="1417" w:header="709" w:top="1417" w:footer="709"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Times-NewRoman">
    <w:charset w:val="ee"/>
    <w:family w:val="roman"/>
    <w:pitch w:val="variable"/>
  </w:font>
  <w:font w:name="Arial">
    <w:charset w:val="ee"/>
    <w:family w:val="roman"/>
    <w:pitch w:val="variable"/>
  </w:font>
  <w:font w:name="Franklin Gothic Heavy">
    <w:charset w:val="ee"/>
    <w:family w:val="roman"/>
    <w:pitch w:val="variable"/>
  </w:font>
  <w:font w:name="Courier New">
    <w:charset w:val="ee"/>
    <w:family w:val="roman"/>
    <w:pitch w:val="variable"/>
  </w:font>
  <w:font w:name="Liberation Sans">
    <w:altName w:val="Arial"/>
    <w:charset w:val="ee"/>
    <w:family w:val="swiss"/>
    <w:pitch w:val="variable"/>
  </w:font>
  <w:font w:name="CIDFont+F1">
    <w:charset w:val="ee"/>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text" w:horzAnchor="text" w:leftFromText="187" w:rightFromText="187" w:tblpX="0" w:tblpY="1"/>
      <w:tblW w:w="5000" w:type="pct"/>
      <w:jc w:val="left"/>
      <w:tblInd w:w="0" w:type="dxa"/>
      <w:tblCellMar>
        <w:top w:w="0" w:type="dxa"/>
        <w:left w:w="108" w:type="dxa"/>
        <w:bottom w:w="0" w:type="dxa"/>
        <w:right w:w="108" w:type="dxa"/>
      </w:tblCellMar>
      <w:tblLook w:val="00a0"/>
    </w:tblPr>
    <w:tblGrid>
      <w:gridCol w:w="3978"/>
      <w:gridCol w:w="1006"/>
      <w:gridCol w:w="4088"/>
    </w:tblGrid>
    <w:tr>
      <w:trPr>
        <w:trHeight w:val="151" w:hRule="atLeast"/>
      </w:trPr>
      <w:tc>
        <w:tcPr>
          <w:tcW w:w="3978" w:type="dxa"/>
          <w:tcBorders>
            <w:bottom w:val="single" w:sz="4" w:space="0" w:color="4F81BD"/>
          </w:tcBorders>
          <w:shd w:fill="auto" w:val="clear"/>
        </w:tcPr>
        <w:p>
          <w:pPr>
            <w:pStyle w:val="Zaglavlje"/>
            <w:rPr>
              <w:rFonts w:ascii="Cambria" w:hAnsi="Cambria"/>
              <w:b/>
              <w:b/>
              <w:bCs/>
            </w:rPr>
          </w:pPr>
          <w:r>
            <w:rPr>
              <w:rFonts w:ascii="Cambria" w:hAnsi="Cambria"/>
              <w:b/>
              <w:bCs/>
            </w:rPr>
          </w:r>
          <w:bookmarkStart w:id="52" w:name="__UnoMark__12644_3653501675"/>
          <w:bookmarkStart w:id="53" w:name="__UnoMark__12644_3653501675"/>
          <w:bookmarkEnd w:id="53"/>
        </w:p>
      </w:tc>
      <w:tc>
        <w:tcPr>
          <w:tcW w:w="1006" w:type="dxa"/>
          <w:vMerge w:val="restart"/>
          <w:tcBorders/>
          <w:shd w:fill="auto" w:val="clear"/>
          <w:vAlign w:val="center"/>
        </w:tcPr>
        <w:p>
          <w:pPr>
            <w:pStyle w:val="NoSpacing"/>
            <w:rPr/>
          </w:pPr>
          <w:bookmarkStart w:id="54" w:name="__UnoMark__12645_3653501675"/>
          <w:bookmarkEnd w:id="54"/>
          <w:r>
            <w:rPr>
              <w:bCs/>
              <w:sz w:val="20"/>
              <w:lang w:eastAsia="en-US"/>
            </w:rPr>
            <w:t xml:space="preserve">Stranica </w:t>
          </w:r>
          <w:r>
            <w:rPr>
              <w:sz w:val="20"/>
              <w:lang w:eastAsia="en-US"/>
            </w:rPr>
            <w:fldChar w:fldCharType="begin"/>
          </w:r>
          <w:r>
            <w:rPr>
              <w:sz w:val="20"/>
            </w:rPr>
            <w:instrText> PAGE </w:instrText>
          </w:r>
          <w:r>
            <w:rPr>
              <w:sz w:val="20"/>
            </w:rPr>
            <w:fldChar w:fldCharType="separate"/>
          </w:r>
          <w:r>
            <w:rPr>
              <w:sz w:val="20"/>
            </w:rPr>
            <w:t>14</w:t>
          </w:r>
          <w:r>
            <w:rPr>
              <w:sz w:val="20"/>
            </w:rPr>
            <w:fldChar w:fldCharType="end"/>
          </w:r>
          <w:r>
            <w:rPr>
              <w:b/>
              <w:bCs/>
              <w:sz w:val="20"/>
              <w:lang w:eastAsia="en-US"/>
            </w:rPr>
            <w:t xml:space="preserve">                     </w:t>
          </w:r>
          <w:bookmarkStart w:id="55" w:name="__UnoMark__12646_3653501675"/>
          <w:bookmarkEnd w:id="55"/>
        </w:p>
      </w:tc>
      <w:tc>
        <w:tcPr>
          <w:tcW w:w="4088" w:type="dxa"/>
          <w:tcBorders>
            <w:bottom w:val="single" w:sz="4" w:space="0" w:color="4F81BD"/>
          </w:tcBorders>
          <w:shd w:fill="auto" w:val="clear"/>
        </w:tcPr>
        <w:p>
          <w:pPr>
            <w:pStyle w:val="Zaglavlje"/>
            <w:rPr>
              <w:rFonts w:ascii="Cambria" w:hAnsi="Cambria"/>
              <w:b/>
              <w:b/>
              <w:bCs/>
            </w:rPr>
          </w:pPr>
          <w:r>
            <w:rPr>
              <w:rFonts w:ascii="Cambria" w:hAnsi="Cambria"/>
              <w:b/>
              <w:bCs/>
            </w:rPr>
          </w:r>
          <w:bookmarkStart w:id="56" w:name="__UnoMark__12648_3653501675"/>
          <w:bookmarkStart w:id="57" w:name="__UnoMark__12647_3653501675"/>
          <w:bookmarkStart w:id="58" w:name="__UnoMark__12648_3653501675"/>
          <w:bookmarkStart w:id="59" w:name="__UnoMark__12647_3653501675"/>
          <w:bookmarkEnd w:id="58"/>
          <w:bookmarkEnd w:id="59"/>
        </w:p>
      </w:tc>
    </w:tr>
    <w:tr>
      <w:trPr>
        <w:trHeight w:val="150" w:hRule="atLeast"/>
      </w:trPr>
      <w:tc>
        <w:tcPr>
          <w:tcW w:w="3978" w:type="dxa"/>
          <w:tcBorders>
            <w:top w:val="single" w:sz="4" w:space="0" w:color="4F81BD"/>
          </w:tcBorders>
          <w:shd w:fill="auto" w:val="clear"/>
        </w:tcPr>
        <w:p>
          <w:pPr>
            <w:pStyle w:val="Zaglavlje"/>
            <w:rPr>
              <w:rFonts w:ascii="Cambria" w:hAnsi="Cambria"/>
              <w:b/>
              <w:b/>
              <w:bCs/>
            </w:rPr>
          </w:pPr>
          <w:r>
            <w:rPr>
              <w:rFonts w:ascii="Cambria" w:hAnsi="Cambria"/>
              <w:b/>
              <w:bCs/>
            </w:rPr>
          </w:r>
          <w:bookmarkStart w:id="60" w:name="__UnoMark__12650_3653501675"/>
          <w:bookmarkStart w:id="61" w:name="__UnoMark__12649_3653501675"/>
          <w:bookmarkStart w:id="62" w:name="__UnoMark__12650_3653501675"/>
          <w:bookmarkStart w:id="63" w:name="__UnoMark__12649_3653501675"/>
          <w:bookmarkEnd w:id="62"/>
          <w:bookmarkEnd w:id="63"/>
        </w:p>
      </w:tc>
      <w:tc>
        <w:tcPr>
          <w:tcW w:w="1006" w:type="dxa"/>
          <w:vMerge w:val="continue"/>
          <w:tcBorders/>
          <w:shd w:fill="auto" w:val="clear"/>
        </w:tcPr>
        <w:p>
          <w:pPr>
            <w:pStyle w:val="Zaglavlje"/>
            <w:jc w:val="center"/>
            <w:rPr>
              <w:rFonts w:ascii="Cambria" w:hAnsi="Cambria"/>
              <w:b/>
              <w:b/>
              <w:bCs/>
            </w:rPr>
          </w:pPr>
          <w:r>
            <w:rPr>
              <w:rFonts w:ascii="Cambria" w:hAnsi="Cambria"/>
              <w:b/>
              <w:bCs/>
            </w:rPr>
          </w:r>
          <w:bookmarkStart w:id="64" w:name="__UnoMark__12652_3653501675"/>
          <w:bookmarkStart w:id="65" w:name="__UnoMark__12651_3653501675"/>
          <w:bookmarkStart w:id="66" w:name="__UnoMark__12652_3653501675"/>
          <w:bookmarkStart w:id="67" w:name="__UnoMark__12651_3653501675"/>
          <w:bookmarkEnd w:id="66"/>
          <w:bookmarkEnd w:id="67"/>
        </w:p>
      </w:tc>
      <w:tc>
        <w:tcPr>
          <w:tcW w:w="4088" w:type="dxa"/>
          <w:tcBorders>
            <w:top w:val="single" w:sz="4" w:space="0" w:color="4F81BD"/>
          </w:tcBorders>
          <w:shd w:fill="auto" w:val="clear"/>
        </w:tcPr>
        <w:p>
          <w:pPr>
            <w:pStyle w:val="Zaglavlje"/>
            <w:rPr>
              <w:rFonts w:ascii="Cambria" w:hAnsi="Cambria"/>
              <w:b/>
              <w:b/>
              <w:bCs/>
            </w:rPr>
          </w:pPr>
          <w:r>
            <w:rPr>
              <w:rFonts w:ascii="Cambria" w:hAnsi="Cambria"/>
              <w:b/>
              <w:bCs/>
            </w:rPr>
          </w:r>
          <w:bookmarkStart w:id="68" w:name="__UnoMark__12653_3653501675"/>
          <w:bookmarkStart w:id="69" w:name="__UnoMark__12653_3653501675"/>
          <w:bookmarkEnd w:id="69"/>
        </w:p>
      </w:tc>
    </w:tr>
  </w:tbl>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spacing w:lineRule="auto" w:line="276"/>
      <w:jc w:val="center"/>
      <w:rPr>
        <w:i/>
        <w:i/>
        <w:sz w:val="20"/>
      </w:rPr>
    </w:pPr>
    <w:r>
      <w:rPr>
        <w:i/>
        <w:sz w:val="20"/>
      </w:rPr>
      <w:t>Izvješće o provedbi Plana gospodarenja otpadom Općine Kloštar Podravski za razdoblje 2018. – 2023.god, za 2019.god.</w:t>
    </w:r>
  </w:p>
  <w:p>
    <w:pPr>
      <w:pStyle w:val="Zaglavlje"/>
      <w:spacing w:lineRule="auto" w:line="27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644" w:hanging="360"/>
      </w:pPr>
      <w:rPr>
        <w:rFonts w:cs="Times New Roman"/>
      </w:rPr>
    </w:lvl>
    <w:lvl w:ilvl="1">
      <w:start w:val="1"/>
      <w:numFmt w:val="decimal"/>
      <w:lvlText w:val="%1.%2."/>
      <w:lvlJc w:val="left"/>
      <w:pPr>
        <w:ind w:left="1113" w:hanging="405"/>
      </w:pPr>
      <w:rPr>
        <w:rFonts w:cs="Times New Roman"/>
      </w:rPr>
    </w:lvl>
    <w:lvl w:ilvl="2">
      <w:start w:val="1"/>
      <w:numFmt w:val="decimal"/>
      <w:lvlText w:val="%1.%2.%3."/>
      <w:lvlJc w:val="left"/>
      <w:pPr>
        <w:ind w:left="1852" w:hanging="720"/>
      </w:pPr>
      <w:rPr>
        <w:rFonts w:cs="Times New Roman"/>
      </w:rPr>
    </w:lvl>
    <w:lvl w:ilvl="3">
      <w:start w:val="1"/>
      <w:numFmt w:val="decimal"/>
      <w:lvlText w:val="%1.%2.%3.%4."/>
      <w:lvlJc w:val="left"/>
      <w:pPr>
        <w:ind w:left="2276"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484" w:hanging="1080"/>
      </w:pPr>
      <w:rPr>
        <w:rFonts w:cs="Times New Roman"/>
      </w:rPr>
    </w:lvl>
    <w:lvl w:ilvl="6">
      <w:start w:val="1"/>
      <w:numFmt w:val="decimal"/>
      <w:lvlText w:val="%1.%2.%3.%4.%5.%6.%7."/>
      <w:lvlJc w:val="left"/>
      <w:pPr>
        <w:ind w:left="4268" w:hanging="1440"/>
      </w:pPr>
      <w:rPr>
        <w:rFonts w:cs="Times New Roman"/>
      </w:rPr>
    </w:lvl>
    <w:lvl w:ilvl="7">
      <w:start w:val="1"/>
      <w:numFmt w:val="decimal"/>
      <w:lvlText w:val="%1.%2.%3.%4.%5.%6.%7.%8."/>
      <w:lvlJc w:val="left"/>
      <w:pPr>
        <w:ind w:left="4692" w:hanging="1440"/>
      </w:pPr>
      <w:rPr>
        <w:rFonts w:cs="Times New Roman"/>
      </w:rPr>
    </w:lvl>
    <w:lvl w:ilvl="8">
      <w:start w:val="1"/>
      <w:numFmt w:val="decimal"/>
      <w:lvlText w:val="%1.%2.%3.%4.%5.%6.%7.%8.%9."/>
      <w:lvlJc w:val="left"/>
      <w:pPr>
        <w:ind w:left="5476" w:hanging="1800"/>
      </w:pPr>
      <w:rPr>
        <w:rFonts w:cs="Times New Roman"/>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720" w:hanging="360"/>
      </w:pPr>
      <w:rPr>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hr-HR" w:eastAsia="hr-HR"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474561"/>
    <w:pPr>
      <w:widowControl/>
      <w:bidi w:val="0"/>
      <w:spacing w:lineRule="auto" w:line="276" w:before="0" w:after="200"/>
      <w:jc w:val="both"/>
    </w:pPr>
    <w:rPr>
      <w:rFonts w:ascii="Calibri" w:hAnsi="Calibri" w:eastAsia="Calibri" w:cs="Times New Roman"/>
      <w:color w:val="auto"/>
      <w:kern w:val="0"/>
      <w:sz w:val="24"/>
      <w:szCs w:val="22"/>
      <w:lang w:eastAsia="en-US" w:val="hr-HR" w:bidi="ar-SA"/>
    </w:rPr>
  </w:style>
  <w:style w:type="paragraph" w:styleId="Stilnaslova1">
    <w:name w:val="Heading 1"/>
    <w:basedOn w:val="Normal"/>
    <w:next w:val="Normal"/>
    <w:link w:val="Heading1Char"/>
    <w:uiPriority w:val="99"/>
    <w:qFormat/>
    <w:rsid w:val="001b70d9"/>
    <w:pPr>
      <w:keepNext w:val="true"/>
      <w:keepLines/>
      <w:spacing w:before="480" w:after="0"/>
      <w:outlineLvl w:val="0"/>
    </w:pPr>
    <w:rPr>
      <w:rFonts w:eastAsia="Times New Roman"/>
      <w:b/>
      <w:bCs/>
      <w:szCs w:val="28"/>
    </w:rPr>
  </w:style>
  <w:style w:type="paragraph" w:styleId="Stilnaslova2">
    <w:name w:val="Heading 2"/>
    <w:basedOn w:val="Normal"/>
    <w:next w:val="Normal"/>
    <w:link w:val="Heading2Char"/>
    <w:uiPriority w:val="99"/>
    <w:qFormat/>
    <w:rsid w:val="001b70d9"/>
    <w:pPr>
      <w:keepNext w:val="true"/>
      <w:keepLines/>
      <w:spacing w:before="200" w:after="0"/>
      <w:outlineLvl w:val="1"/>
    </w:pPr>
    <w:rPr>
      <w:rFonts w:eastAsia="Times New Roman"/>
      <w:bCs/>
      <w:sz w:val="22"/>
      <w:szCs w:val="26"/>
    </w:rPr>
  </w:style>
  <w:style w:type="paragraph" w:styleId="Stilnaslova3">
    <w:name w:val="Heading 3"/>
    <w:basedOn w:val="Normal"/>
    <w:next w:val="Normal"/>
    <w:link w:val="Heading3Char"/>
    <w:uiPriority w:val="99"/>
    <w:qFormat/>
    <w:rsid w:val="001b70d9"/>
    <w:pPr>
      <w:keepNext w:val="true"/>
      <w:keepLines/>
      <w:spacing w:before="200" w:after="0"/>
      <w:outlineLvl w:val="2"/>
    </w:pPr>
    <w:rPr>
      <w:rFonts w:eastAsia="Times New Roman"/>
      <w:b/>
      <w:bCs/>
      <w:sz w:val="20"/>
    </w:rPr>
  </w:style>
  <w:style w:type="paragraph" w:styleId="Stilnaslova4">
    <w:name w:val="Heading 4"/>
    <w:basedOn w:val="Normal"/>
    <w:next w:val="Normal"/>
    <w:link w:val="Heading4Char"/>
    <w:uiPriority w:val="99"/>
    <w:qFormat/>
    <w:rsid w:val="001b70d9"/>
    <w:pPr>
      <w:keepNext w:val="true"/>
      <w:keepLines/>
      <w:spacing w:before="200" w:after="0"/>
      <w:outlineLvl w:val="3"/>
    </w:pPr>
    <w:rPr>
      <w:rFonts w:eastAsia="Times New Roman"/>
      <w:bCs/>
      <w:iCs/>
      <w:sz w:val="20"/>
    </w:rPr>
  </w:style>
  <w:style w:type="paragraph" w:styleId="Stilnaslova5">
    <w:name w:val="Heading 5"/>
    <w:basedOn w:val="Normal"/>
    <w:next w:val="Normal"/>
    <w:link w:val="Heading5Char"/>
    <w:uiPriority w:val="99"/>
    <w:qFormat/>
    <w:rsid w:val="000736bf"/>
    <w:pPr>
      <w:keepNext w:val="true"/>
      <w:keepLines/>
      <w:spacing w:before="40" w:after="0"/>
      <w:outlineLvl w:val="4"/>
    </w:pPr>
    <w:rPr>
      <w:rFonts w:ascii="Calibri Light" w:hAnsi="Calibri Light" w:eastAsia="Times New Roman"/>
      <w:color w:val="2F5496"/>
    </w:rPr>
  </w:style>
  <w:style w:type="paragraph" w:styleId="Stilnaslova6">
    <w:name w:val="Heading 6"/>
    <w:basedOn w:val="Normal"/>
    <w:next w:val="Normal"/>
    <w:link w:val="Heading6Char"/>
    <w:uiPriority w:val="99"/>
    <w:qFormat/>
    <w:rsid w:val="00f036e9"/>
    <w:pPr>
      <w:keepNext w:val="true"/>
      <w:keepLines/>
      <w:spacing w:before="40" w:after="0"/>
      <w:outlineLvl w:val="5"/>
    </w:pPr>
    <w:rPr>
      <w:rFonts w:ascii="Calibri Light" w:hAnsi="Calibri Light" w:eastAsia="Times New Roman"/>
      <w:color w:val="1F3763"/>
    </w:rPr>
  </w:style>
  <w:style w:type="paragraph" w:styleId="Stilnaslova7">
    <w:name w:val="Heading 7"/>
    <w:basedOn w:val="Normal"/>
    <w:next w:val="Normal"/>
    <w:link w:val="Heading7Char"/>
    <w:uiPriority w:val="99"/>
    <w:qFormat/>
    <w:rsid w:val="008d6226"/>
    <w:pPr>
      <w:spacing w:lineRule="auto" w:line="360" w:before="240" w:after="60"/>
      <w:ind w:left="1296" w:hanging="1296"/>
      <w:outlineLvl w:val="6"/>
    </w:pPr>
    <w:rPr>
      <w:rFonts w:eastAsia="Times New Roman"/>
      <w:szCs w:val="24"/>
    </w:rPr>
  </w:style>
  <w:style w:type="paragraph" w:styleId="Stilnaslova8">
    <w:name w:val="Heading 8"/>
    <w:basedOn w:val="Normal"/>
    <w:next w:val="Normal"/>
    <w:link w:val="Heading8Char"/>
    <w:uiPriority w:val="99"/>
    <w:qFormat/>
    <w:rsid w:val="008d6226"/>
    <w:pPr>
      <w:spacing w:lineRule="auto" w:line="360" w:before="240" w:after="60"/>
      <w:ind w:left="1440" w:hanging="1440"/>
      <w:outlineLvl w:val="7"/>
    </w:pPr>
    <w:rPr>
      <w:rFonts w:eastAsia="Times New Roman"/>
      <w:i/>
      <w:iCs/>
      <w:szCs w:val="24"/>
    </w:rPr>
  </w:style>
  <w:style w:type="paragraph" w:styleId="Stilnaslova9">
    <w:name w:val="Heading 9"/>
    <w:basedOn w:val="Normal"/>
    <w:next w:val="Normal"/>
    <w:link w:val="Heading9Char"/>
    <w:uiPriority w:val="99"/>
    <w:qFormat/>
    <w:rsid w:val="008d6226"/>
    <w:pPr>
      <w:spacing w:lineRule="auto" w:line="240" w:before="240" w:after="60"/>
      <w:ind w:left="1584" w:hanging="1584"/>
      <w:jc w:val="left"/>
      <w:outlineLvl w:val="8"/>
    </w:pPr>
    <w:rPr>
      <w:rFonts w:ascii="Cambria" w:hAnsi="Cambria" w:eastAsia="Times New Roman"/>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1b70d9"/>
    <w:rPr>
      <w:rFonts w:eastAsia="Times New Roman" w:cs="Times New Roman"/>
      <w:b/>
      <w:bCs/>
      <w:sz w:val="28"/>
      <w:szCs w:val="28"/>
    </w:rPr>
  </w:style>
  <w:style w:type="character" w:styleId="Heading2Char" w:customStyle="1">
    <w:name w:val="Heading 2 Char"/>
    <w:basedOn w:val="DefaultParagraphFont"/>
    <w:link w:val="Heading2"/>
    <w:uiPriority w:val="99"/>
    <w:qFormat/>
    <w:locked/>
    <w:rsid w:val="001b70d9"/>
    <w:rPr>
      <w:rFonts w:eastAsia="Times New Roman" w:cs="Times New Roman"/>
      <w:bCs/>
      <w:sz w:val="26"/>
      <w:szCs w:val="26"/>
    </w:rPr>
  </w:style>
  <w:style w:type="character" w:styleId="Heading3Char" w:customStyle="1">
    <w:name w:val="Heading 3 Char"/>
    <w:basedOn w:val="DefaultParagraphFont"/>
    <w:link w:val="Heading3"/>
    <w:uiPriority w:val="99"/>
    <w:qFormat/>
    <w:locked/>
    <w:rsid w:val="001b70d9"/>
    <w:rPr>
      <w:rFonts w:eastAsia="Times New Roman" w:cs="Times New Roman"/>
      <w:b/>
      <w:bCs/>
      <w:sz w:val="20"/>
    </w:rPr>
  </w:style>
  <w:style w:type="character" w:styleId="Heading4Char" w:customStyle="1">
    <w:name w:val="Heading 4 Char"/>
    <w:basedOn w:val="DefaultParagraphFont"/>
    <w:link w:val="Heading4"/>
    <w:uiPriority w:val="99"/>
    <w:qFormat/>
    <w:locked/>
    <w:rsid w:val="001b70d9"/>
    <w:rPr>
      <w:rFonts w:eastAsia="Times New Roman" w:cs="Times New Roman"/>
      <w:bCs/>
      <w:iCs/>
      <w:sz w:val="20"/>
    </w:rPr>
  </w:style>
  <w:style w:type="character" w:styleId="Heading5Char" w:customStyle="1">
    <w:name w:val="Heading 5 Char"/>
    <w:basedOn w:val="DefaultParagraphFont"/>
    <w:link w:val="Heading5"/>
    <w:uiPriority w:val="99"/>
    <w:qFormat/>
    <w:locked/>
    <w:rsid w:val="000736bf"/>
    <w:rPr>
      <w:rFonts w:ascii="Calibri Light" w:hAnsi="Calibri Light" w:cs="Times New Roman"/>
      <w:color w:val="2F5496"/>
      <w:sz w:val="24"/>
    </w:rPr>
  </w:style>
  <w:style w:type="character" w:styleId="Heading6Char" w:customStyle="1">
    <w:name w:val="Heading 6 Char"/>
    <w:basedOn w:val="DefaultParagraphFont"/>
    <w:link w:val="Heading6"/>
    <w:uiPriority w:val="99"/>
    <w:qFormat/>
    <w:locked/>
    <w:rsid w:val="00f036e9"/>
    <w:rPr>
      <w:rFonts w:ascii="Calibri Light" w:hAnsi="Calibri Light" w:cs="Times New Roman"/>
      <w:color w:val="1F3763"/>
      <w:sz w:val="24"/>
    </w:rPr>
  </w:style>
  <w:style w:type="character" w:styleId="Heading7Char" w:customStyle="1">
    <w:name w:val="Heading 7 Char"/>
    <w:basedOn w:val="DefaultParagraphFont"/>
    <w:link w:val="Heading7"/>
    <w:uiPriority w:val="99"/>
    <w:qFormat/>
    <w:locked/>
    <w:rsid w:val="008d6226"/>
    <w:rPr>
      <w:rFonts w:ascii="Calibri" w:hAnsi="Calibri" w:cs="Times New Roman"/>
      <w:sz w:val="24"/>
      <w:szCs w:val="24"/>
    </w:rPr>
  </w:style>
  <w:style w:type="character" w:styleId="Heading8Char" w:customStyle="1">
    <w:name w:val="Heading 8 Char"/>
    <w:basedOn w:val="DefaultParagraphFont"/>
    <w:link w:val="Heading8"/>
    <w:uiPriority w:val="99"/>
    <w:qFormat/>
    <w:locked/>
    <w:rsid w:val="008d6226"/>
    <w:rPr>
      <w:rFonts w:ascii="Calibri" w:hAnsi="Calibri" w:cs="Times New Roman"/>
      <w:i/>
      <w:iCs/>
      <w:sz w:val="24"/>
      <w:szCs w:val="24"/>
    </w:rPr>
  </w:style>
  <w:style w:type="character" w:styleId="Heading9Char" w:customStyle="1">
    <w:name w:val="Heading 9 Char"/>
    <w:basedOn w:val="DefaultParagraphFont"/>
    <w:link w:val="Heading9"/>
    <w:uiPriority w:val="99"/>
    <w:qFormat/>
    <w:locked/>
    <w:rsid w:val="008d6226"/>
    <w:rPr>
      <w:rFonts w:ascii="Cambria" w:hAnsi="Cambria" w:cs="Times New Roman"/>
      <w:sz w:val="24"/>
    </w:rPr>
  </w:style>
  <w:style w:type="character" w:styleId="Internetskapoveznica">
    <w:name w:val="Internetska poveznica"/>
    <w:basedOn w:val="DefaultParagraphFont"/>
    <w:uiPriority w:val="99"/>
    <w:rsid w:val="001b70d9"/>
    <w:rPr>
      <w:rFonts w:cs="Times New Roman"/>
      <w:color w:val="0000FF"/>
      <w:u w:val="single"/>
    </w:rPr>
  </w:style>
  <w:style w:type="character" w:styleId="ListParagraphChar" w:customStyle="1">
    <w:name w:val="List Paragraph Char"/>
    <w:basedOn w:val="DefaultParagraphFont"/>
    <w:link w:val="ListParagraph"/>
    <w:uiPriority w:val="99"/>
    <w:qFormat/>
    <w:locked/>
    <w:rsid w:val="001b70d9"/>
    <w:rPr>
      <w:rFonts w:cs="Times New Roman"/>
      <w:lang w:val="en-US"/>
    </w:rPr>
  </w:style>
  <w:style w:type="character" w:styleId="BalloonTextChar" w:customStyle="1">
    <w:name w:val="Balloon Text Char"/>
    <w:basedOn w:val="DefaultParagraphFont"/>
    <w:link w:val="BalloonText"/>
    <w:uiPriority w:val="99"/>
    <w:semiHidden/>
    <w:qFormat/>
    <w:locked/>
    <w:rsid w:val="001b70d9"/>
    <w:rPr>
      <w:rFonts w:ascii="Tahoma" w:hAnsi="Tahoma" w:cs="Tahoma"/>
      <w:sz w:val="16"/>
      <w:szCs w:val="16"/>
    </w:rPr>
  </w:style>
  <w:style w:type="character" w:styleId="HeaderChar" w:customStyle="1">
    <w:name w:val="Header Char"/>
    <w:basedOn w:val="DefaultParagraphFont"/>
    <w:link w:val="Header"/>
    <w:uiPriority w:val="99"/>
    <w:qFormat/>
    <w:locked/>
    <w:rsid w:val="001b70d9"/>
    <w:rPr>
      <w:rFonts w:cs="Times New Roman"/>
      <w:sz w:val="24"/>
    </w:rPr>
  </w:style>
  <w:style w:type="character" w:styleId="FooterChar" w:customStyle="1">
    <w:name w:val="Footer Char"/>
    <w:basedOn w:val="DefaultParagraphFont"/>
    <w:link w:val="Footer"/>
    <w:uiPriority w:val="99"/>
    <w:qFormat/>
    <w:locked/>
    <w:rsid w:val="001b70d9"/>
    <w:rPr>
      <w:rFonts w:cs="Times New Roman"/>
      <w:sz w:val="24"/>
    </w:rPr>
  </w:style>
  <w:style w:type="character" w:styleId="Bodytext" w:customStyle="1">
    <w:name w:val="Body text_"/>
    <w:link w:val="BodyText20"/>
    <w:uiPriority w:val="99"/>
    <w:qFormat/>
    <w:locked/>
    <w:rsid w:val="001b70d9"/>
    <w:rPr>
      <w:rFonts w:ascii="Times New Roman" w:hAnsi="Times New Roman"/>
      <w:sz w:val="21"/>
      <w:shd w:fill="FFFFFF" w:val="clear"/>
    </w:rPr>
  </w:style>
  <w:style w:type="character" w:styleId="BodyTextChar" w:customStyle="1">
    <w:name w:val="Body Text Char"/>
    <w:basedOn w:val="DefaultParagraphFont"/>
    <w:link w:val="BodyText0"/>
    <w:uiPriority w:val="99"/>
    <w:qFormat/>
    <w:locked/>
    <w:rsid w:val="001b70d9"/>
    <w:rPr>
      <w:rFonts w:cs="Times New Roman"/>
      <w:sz w:val="24"/>
    </w:rPr>
  </w:style>
  <w:style w:type="character" w:styleId="Appleconvertedspace" w:customStyle="1">
    <w:name w:val="apple-converted-space"/>
    <w:basedOn w:val="DefaultParagraphFont"/>
    <w:uiPriority w:val="99"/>
    <w:qFormat/>
    <w:rsid w:val="001b70d9"/>
    <w:rPr>
      <w:rFonts w:cs="Times New Roman"/>
    </w:rPr>
  </w:style>
  <w:style w:type="character" w:styleId="FootnoteTextChar" w:customStyle="1">
    <w:name w:val="Footnote Text Char"/>
    <w:basedOn w:val="DefaultParagraphFont"/>
    <w:link w:val="FootnoteText"/>
    <w:uiPriority w:val="99"/>
    <w:qFormat/>
    <w:locked/>
    <w:rsid w:val="001b70d9"/>
    <w:rPr>
      <w:rFonts w:cs="Times New Roman"/>
      <w:sz w:val="20"/>
      <w:szCs w:val="20"/>
    </w:rPr>
  </w:style>
  <w:style w:type="character" w:styleId="Sidrofusnote">
    <w:name w:val="Sidro fusnote"/>
    <w:rPr>
      <w:rFonts w:cs="Times New Roman"/>
      <w:vertAlign w:val="superscript"/>
    </w:rPr>
  </w:style>
  <w:style w:type="character" w:styleId="FootnoteCharacters">
    <w:name w:val="Footnote Characters"/>
    <w:basedOn w:val="DefaultParagraphFont"/>
    <w:uiPriority w:val="99"/>
    <w:qFormat/>
    <w:rsid w:val="001b70d9"/>
    <w:rPr>
      <w:rFonts w:cs="Times New Roman"/>
      <w:vertAlign w:val="superscript"/>
    </w:rPr>
  </w:style>
  <w:style w:type="character" w:styleId="BodyText2Char" w:customStyle="1">
    <w:name w:val="Body Text 2 Char"/>
    <w:basedOn w:val="DefaultParagraphFont"/>
    <w:link w:val="BodyText2"/>
    <w:uiPriority w:val="99"/>
    <w:qFormat/>
    <w:locked/>
    <w:rsid w:val="00dc224a"/>
    <w:rPr>
      <w:rFonts w:cs="Times New Roman"/>
      <w:sz w:val="24"/>
    </w:rPr>
  </w:style>
  <w:style w:type="character" w:styleId="BezproredaChar" w:customStyle="1">
    <w:name w:val="Bez proreda Char"/>
    <w:link w:val="Bezproreda2"/>
    <w:uiPriority w:val="99"/>
    <w:qFormat/>
    <w:locked/>
    <w:rsid w:val="00dc224a"/>
    <w:rPr>
      <w:rFonts w:ascii="Calibri" w:hAnsi="Calibri"/>
      <w:sz w:val="22"/>
      <w:lang w:val="hr-HR" w:eastAsia="en-US"/>
    </w:rPr>
  </w:style>
  <w:style w:type="character" w:styleId="Annotationreference">
    <w:name w:val="annotation reference"/>
    <w:basedOn w:val="DefaultParagraphFont"/>
    <w:uiPriority w:val="99"/>
    <w:semiHidden/>
    <w:qFormat/>
    <w:rsid w:val="00c5458b"/>
    <w:rPr>
      <w:rFonts w:cs="Times New Roman"/>
      <w:sz w:val="16"/>
      <w:szCs w:val="16"/>
    </w:rPr>
  </w:style>
  <w:style w:type="character" w:styleId="CommentTextChar" w:customStyle="1">
    <w:name w:val="Comment Text Char"/>
    <w:basedOn w:val="DefaultParagraphFont"/>
    <w:link w:val="CommentText"/>
    <w:uiPriority w:val="99"/>
    <w:qFormat/>
    <w:locked/>
    <w:rsid w:val="00c5458b"/>
    <w:rPr>
      <w:rFonts w:cs="Times New Roman"/>
      <w:sz w:val="20"/>
      <w:szCs w:val="20"/>
    </w:rPr>
  </w:style>
  <w:style w:type="character" w:styleId="CommentSubjectChar" w:customStyle="1">
    <w:name w:val="Comment Subject Char"/>
    <w:basedOn w:val="CommentTextChar"/>
    <w:link w:val="CommentSubject"/>
    <w:uiPriority w:val="99"/>
    <w:semiHidden/>
    <w:qFormat/>
    <w:locked/>
    <w:rsid w:val="00c5458b"/>
    <w:rPr>
      <w:b/>
      <w:bCs/>
    </w:rPr>
  </w:style>
  <w:style w:type="character" w:styleId="Isticanje">
    <w:name w:val="Isticanje"/>
    <w:basedOn w:val="DefaultParagraphFont"/>
    <w:uiPriority w:val="99"/>
    <w:qFormat/>
    <w:rsid w:val="009353b4"/>
    <w:rPr>
      <w:rFonts w:ascii="Calibri" w:hAnsi="Calibri" w:cs="Times New Roman"/>
      <w:b/>
      <w:iCs/>
      <w:sz w:val="20"/>
    </w:rPr>
  </w:style>
  <w:style w:type="character" w:styleId="T982Char" w:customStyle="1">
    <w:name w:val="T-9/8-2 Char"/>
    <w:link w:val="T-98-2"/>
    <w:uiPriority w:val="99"/>
    <w:qFormat/>
    <w:locked/>
    <w:rsid w:val="00d26b92"/>
    <w:rPr>
      <w:rFonts w:ascii="Times-NewRoman" w:hAnsi="Times-NewRoman"/>
      <w:sz w:val="20"/>
      <w:lang w:val="en-GB"/>
    </w:rPr>
  </w:style>
  <w:style w:type="character" w:styleId="Strong">
    <w:name w:val="Strong"/>
    <w:basedOn w:val="DefaultParagraphFont"/>
    <w:uiPriority w:val="99"/>
    <w:qFormat/>
    <w:rsid w:val="00ba7b8f"/>
    <w:rPr>
      <w:rFonts w:cs="Times New Roman"/>
      <w:b/>
      <w:bCs/>
    </w:rPr>
  </w:style>
  <w:style w:type="character" w:styleId="Zadanifontodlomka1" w:customStyle="1">
    <w:name w:val="Zadani font odlomka1"/>
    <w:uiPriority w:val="99"/>
    <w:qFormat/>
    <w:rsid w:val="000b1616"/>
    <w:rPr/>
  </w:style>
  <w:style w:type="character" w:styleId="FootnoteTextChar1" w:customStyle="1">
    <w:name w:val="Footnote Text Char1"/>
    <w:basedOn w:val="DefaultParagraphFont"/>
    <w:uiPriority w:val="99"/>
    <w:qFormat/>
    <w:rsid w:val="00573899"/>
    <w:rPr>
      <w:rFonts w:cs="Times New Roman"/>
    </w:rPr>
  </w:style>
  <w:style w:type="character" w:styleId="St1" w:customStyle="1">
    <w:name w:val="st1"/>
    <w:uiPriority w:val="99"/>
    <w:qFormat/>
    <w:rsid w:val="00573899"/>
    <w:rPr/>
  </w:style>
  <w:style w:type="character" w:styleId="Font81" w:customStyle="1">
    <w:name w:val="font81"/>
    <w:basedOn w:val="DefaultParagraphFont"/>
    <w:uiPriority w:val="99"/>
    <w:qFormat/>
    <w:rsid w:val="009d7794"/>
    <w:rPr>
      <w:rFonts w:ascii="Calibri" w:hAnsi="Calibri" w:cs="Calibri"/>
      <w:color w:val="333333"/>
      <w:sz w:val="21"/>
      <w:szCs w:val="21"/>
      <w:u w:val="none"/>
      <w:effect w:val="none"/>
    </w:rPr>
  </w:style>
  <w:style w:type="character" w:styleId="Mention1" w:customStyle="1">
    <w:name w:val="Mention1"/>
    <w:basedOn w:val="DefaultParagraphFont"/>
    <w:uiPriority w:val="99"/>
    <w:semiHidden/>
    <w:qFormat/>
    <w:rsid w:val="008861a9"/>
    <w:rPr>
      <w:rFonts w:cs="Times New Roman"/>
      <w:color w:val="2B579A"/>
      <w:shd w:fill="E6E6E6" w:val="clear"/>
    </w:rPr>
  </w:style>
  <w:style w:type="character" w:styleId="IntenseEmphasis">
    <w:name w:val="Intense Emphasis"/>
    <w:basedOn w:val="DefaultParagraphFont"/>
    <w:uiPriority w:val="99"/>
    <w:qFormat/>
    <w:rsid w:val="00a713e6"/>
    <w:rPr>
      <w:rFonts w:cs="Times New Roman"/>
      <w:i/>
      <w:iCs/>
      <w:color w:val="4472C4"/>
    </w:rPr>
  </w:style>
  <w:style w:type="character" w:styleId="SubtleReference">
    <w:name w:val="Subtle Reference"/>
    <w:basedOn w:val="DefaultParagraphFont"/>
    <w:uiPriority w:val="99"/>
    <w:qFormat/>
    <w:rsid w:val="009b6f3a"/>
    <w:rPr>
      <w:rFonts w:cs="Times New Roman"/>
      <w:smallCaps/>
      <w:color w:val="5A5A5A"/>
    </w:rPr>
  </w:style>
  <w:style w:type="character" w:styleId="SubtleEmphasis">
    <w:name w:val="Subtle Emphasis"/>
    <w:basedOn w:val="DefaultParagraphFont"/>
    <w:uiPriority w:val="99"/>
    <w:qFormat/>
    <w:rsid w:val="003f23ee"/>
    <w:rPr>
      <w:rFonts w:ascii="Calibri" w:hAnsi="Calibri" w:cs="Times New Roman"/>
      <w:iCs/>
      <w:color w:val="404040"/>
      <w:sz w:val="20"/>
    </w:rPr>
  </w:style>
  <w:style w:type="character" w:styleId="Spominjanje1" w:customStyle="1">
    <w:name w:val="Spominjanje1"/>
    <w:basedOn w:val="DefaultParagraphFont"/>
    <w:uiPriority w:val="99"/>
    <w:semiHidden/>
    <w:qFormat/>
    <w:rsid w:val="00672bbd"/>
    <w:rPr>
      <w:rFonts w:cs="Times New Roman"/>
      <w:color w:val="2B579A"/>
      <w:shd w:fill="E6E6E6" w:val="clear"/>
    </w:rPr>
  </w:style>
  <w:style w:type="character" w:styleId="Mention2" w:customStyle="1">
    <w:name w:val="Mention2"/>
    <w:basedOn w:val="DefaultParagraphFont"/>
    <w:uiPriority w:val="99"/>
    <w:semiHidden/>
    <w:qFormat/>
    <w:rsid w:val="007e32fa"/>
    <w:rPr>
      <w:rFonts w:cs="Times New Roman"/>
      <w:color w:val="2B579A"/>
      <w:shd w:fill="E6E6E6" w:val="clear"/>
    </w:rPr>
  </w:style>
  <w:style w:type="character" w:styleId="Spominjanje2" w:customStyle="1">
    <w:name w:val="Spominjanje2"/>
    <w:basedOn w:val="DefaultParagraphFont"/>
    <w:uiPriority w:val="99"/>
    <w:semiHidden/>
    <w:qFormat/>
    <w:rsid w:val="008427c0"/>
    <w:rPr>
      <w:rFonts w:cs="Times New Roman"/>
      <w:color w:val="2B579A"/>
      <w:shd w:fill="E6E6E6" w:val="clear"/>
    </w:rPr>
  </w:style>
  <w:style w:type="character" w:styleId="Nerijeenospominjanje1" w:customStyle="1">
    <w:name w:val="Neriješeno spominjanje1"/>
    <w:basedOn w:val="DefaultParagraphFont"/>
    <w:uiPriority w:val="99"/>
    <w:semiHidden/>
    <w:qFormat/>
    <w:rsid w:val="00fa5fba"/>
    <w:rPr>
      <w:rFonts w:cs="Times New Roman"/>
      <w:color w:val="808080"/>
      <w:shd w:fill="E6E6E6" w:val="clear"/>
    </w:rPr>
  </w:style>
  <w:style w:type="character" w:styleId="UnresolvedMention" w:customStyle="1">
    <w:name w:val="Unresolved Mention"/>
    <w:basedOn w:val="DefaultParagraphFont"/>
    <w:uiPriority w:val="99"/>
    <w:semiHidden/>
    <w:qFormat/>
    <w:rsid w:val="00f61005"/>
    <w:rPr>
      <w:rFonts w:cs="Times New Roman"/>
      <w:color w:val="808080"/>
      <w:shd w:fill="E6E6E6" w:val="clear"/>
    </w:rPr>
  </w:style>
  <w:style w:type="character" w:styleId="Naglaeno1" w:customStyle="1">
    <w:name w:val="Naglašeno1"/>
    <w:basedOn w:val="Zadanifontodlomka1"/>
    <w:uiPriority w:val="99"/>
    <w:qFormat/>
    <w:rsid w:val="00d83743"/>
    <w:rPr>
      <w:rFonts w:cs="Times New Roman"/>
      <w:b/>
      <w:bCs/>
    </w:rPr>
  </w:style>
  <w:style w:type="character" w:styleId="Zadanifontodlomka2" w:customStyle="1">
    <w:name w:val="Zadani font odlomka2"/>
    <w:uiPriority w:val="99"/>
    <w:qFormat/>
    <w:rsid w:val="00bb3959"/>
    <w:rPr/>
  </w:style>
  <w:style w:type="character" w:styleId="Tablecaption3" w:customStyle="1">
    <w:name w:val="Table caption (3)_"/>
    <w:basedOn w:val="DefaultParagraphFont"/>
    <w:link w:val="Tablecaption30"/>
    <w:uiPriority w:val="99"/>
    <w:qFormat/>
    <w:locked/>
    <w:rsid w:val="006713e2"/>
    <w:rPr>
      <w:rFonts w:ascii="Arial" w:hAnsi="Arial" w:eastAsia="Times New Roman" w:cs="Arial"/>
      <w:shd w:fill="FFFFFF" w:val="clear"/>
    </w:rPr>
  </w:style>
  <w:style w:type="character" w:styleId="Picturecaption4" w:customStyle="1">
    <w:name w:val="Picture caption (4)_"/>
    <w:basedOn w:val="DefaultParagraphFont"/>
    <w:link w:val="Picturecaption40"/>
    <w:uiPriority w:val="99"/>
    <w:qFormat/>
    <w:locked/>
    <w:rsid w:val="006e7291"/>
    <w:rPr>
      <w:rFonts w:ascii="Franklin Gothic Heavy" w:hAnsi="Franklin Gothic Heavy" w:eastAsia="Times New Roman" w:cs="Franklin Gothic Heavy"/>
      <w:sz w:val="11"/>
      <w:szCs w:val="11"/>
      <w:shd w:fill="FFFFFF" w:val="clear"/>
    </w:rPr>
  </w:style>
  <w:style w:type="character" w:styleId="Bodytext18" w:customStyle="1">
    <w:name w:val="Body text (18)_"/>
    <w:basedOn w:val="DefaultParagraphFont"/>
    <w:link w:val="Bodytext180"/>
    <w:uiPriority w:val="99"/>
    <w:qFormat/>
    <w:locked/>
    <w:rsid w:val="006e7291"/>
    <w:rPr>
      <w:rFonts w:ascii="Arial" w:hAnsi="Arial" w:eastAsia="Times New Roman" w:cs="Arial"/>
      <w:i/>
      <w:iCs/>
      <w:sz w:val="23"/>
      <w:szCs w:val="23"/>
      <w:shd w:fill="FFFFFF" w:val="clear"/>
    </w:rPr>
  </w:style>
  <w:style w:type="character" w:styleId="Tablecaption3SmallCaps" w:customStyle="1">
    <w:name w:val="Table caption (3) + Small Caps"/>
    <w:basedOn w:val="Tablecaption3"/>
    <w:uiPriority w:val="99"/>
    <w:qFormat/>
    <w:rsid w:val="002721d2"/>
    <w:rPr>
      <w:smallCaps/>
      <w:color w:val="000000"/>
      <w:spacing w:val="0"/>
      <w:w w:val="100"/>
      <w:sz w:val="24"/>
      <w:szCs w:val="24"/>
      <w:u w:val="none"/>
      <w:lang w:val="hr-HR"/>
    </w:rPr>
  </w:style>
  <w:style w:type="character" w:styleId="Zadanifontodlomka3" w:customStyle="1">
    <w:name w:val="Zadani font odlomka3"/>
    <w:uiPriority w:val="99"/>
    <w:qFormat/>
    <w:rsid w:val="007f39da"/>
    <w:rPr/>
  </w:style>
  <w:style w:type="character" w:styleId="Zadanifontodlomka4" w:customStyle="1">
    <w:name w:val="Zadani font odlomka4"/>
    <w:uiPriority w:val="99"/>
    <w:qFormat/>
    <w:rsid w:val="004077d3"/>
    <w:rPr/>
  </w:style>
  <w:style w:type="character" w:styleId="PlaceholderText">
    <w:name w:val="Placeholder Text"/>
    <w:basedOn w:val="DefaultParagraphFont"/>
    <w:uiPriority w:val="99"/>
    <w:semiHidden/>
    <w:qFormat/>
    <w:rsid w:val="00b73498"/>
    <w:rPr>
      <w:rFonts w:cs="Times New Roman"/>
      <w:color w:val="808080"/>
    </w:rPr>
  </w:style>
  <w:style w:type="character" w:styleId="NoSpacingChar" w:customStyle="1">
    <w:name w:val="No Spacing Char"/>
    <w:link w:val="Bezproreda1"/>
    <w:uiPriority w:val="99"/>
    <w:qFormat/>
    <w:locked/>
    <w:rsid w:val="00094ae3"/>
    <w:rPr>
      <w:sz w:val="22"/>
      <w:lang w:val="en-US" w:eastAsia="en-US"/>
    </w:rPr>
  </w:style>
  <w:style w:type="character" w:styleId="NoSpacingChar1" w:customStyle="1">
    <w:name w:val="No Spacing Char1"/>
    <w:link w:val="NoSpacing"/>
    <w:uiPriority w:val="99"/>
    <w:qFormat/>
    <w:locked/>
    <w:rsid w:val="00493a9c"/>
    <w:rPr>
      <w:sz w:val="22"/>
    </w:rPr>
  </w:style>
  <w:style w:type="character" w:styleId="BodyText3Char" w:customStyle="1">
    <w:name w:val="Body Text 3 Char"/>
    <w:basedOn w:val="DefaultParagraphFont"/>
    <w:link w:val="BodyText3"/>
    <w:uiPriority w:val="99"/>
    <w:qFormat/>
    <w:locked/>
    <w:rsid w:val="00054e04"/>
    <w:rPr>
      <w:rFonts w:ascii="Times New Roman" w:hAnsi="Times New Roman" w:cs="Times New Roman"/>
      <w:sz w:val="16"/>
      <w:szCs w:val="16"/>
      <w:lang w:eastAsia="hr-HR"/>
    </w:rPr>
  </w:style>
  <w:style w:type="character" w:styleId="BodyTextIndentChar" w:customStyle="1">
    <w:name w:val="Body Text Indent Char"/>
    <w:basedOn w:val="DefaultParagraphFont"/>
    <w:link w:val="BodyTextIndent"/>
    <w:uiPriority w:val="99"/>
    <w:semiHidden/>
    <w:qFormat/>
    <w:locked/>
    <w:rsid w:val="00465457"/>
    <w:rPr>
      <w:rFonts w:cs="Times New Roman"/>
      <w:sz w:val="24"/>
    </w:rPr>
  </w:style>
  <w:style w:type="character" w:styleId="Kurziv" w:customStyle="1">
    <w:name w:val="kurziv"/>
    <w:basedOn w:val="DefaultParagraphFont"/>
    <w:uiPriority w:val="99"/>
    <w:qFormat/>
    <w:rsid w:val="001b1cf8"/>
    <w:rPr>
      <w:rFonts w:cs="Times New Roman"/>
    </w:rPr>
  </w:style>
  <w:style w:type="character" w:styleId="Stil1Char" w:customStyle="1">
    <w:name w:val="Stil1 Char"/>
    <w:basedOn w:val="Heading4Char"/>
    <w:link w:val="Stil1"/>
    <w:uiPriority w:val="99"/>
    <w:qFormat/>
    <w:locked/>
    <w:rsid w:val="008d6226"/>
    <w:rPr>
      <w:rFonts w:ascii="Cambria" w:hAnsi="Cambria"/>
      <w:b/>
      <w:i/>
      <w:sz w:val="24"/>
      <w:szCs w:val="24"/>
    </w:rPr>
  </w:style>
  <w:style w:type="character" w:styleId="QuoteChar" w:customStyle="1">
    <w:name w:val="Quote Char"/>
    <w:basedOn w:val="DefaultParagraphFont"/>
    <w:link w:val="Quote"/>
    <w:uiPriority w:val="99"/>
    <w:qFormat/>
    <w:locked/>
    <w:rsid w:val="00851e35"/>
    <w:rPr>
      <w:rFonts w:ascii="Arial" w:hAnsi="Arial" w:cs="Times New Roman"/>
      <w:i/>
      <w:iCs/>
      <w:color w:val="000000"/>
      <w:sz w:val="24"/>
      <w:szCs w:val="24"/>
    </w:rPr>
  </w:style>
  <w:style w:type="character" w:styleId="Stil3Char" w:customStyle="1">
    <w:name w:val="Stil3 Char"/>
    <w:link w:val="Stil3"/>
    <w:uiPriority w:val="99"/>
    <w:qFormat/>
    <w:locked/>
    <w:rsid w:val="00e0050d"/>
    <w:rPr>
      <w:rFonts w:ascii="Times New Roman" w:hAnsi="Times New Roman"/>
      <w:b/>
      <w:sz w:val="24"/>
      <w:u w:val="single"/>
    </w:rPr>
  </w:style>
  <w:style w:type="character" w:styleId="PlainTextChar" w:customStyle="1">
    <w:name w:val="Plain Text Char"/>
    <w:basedOn w:val="DefaultParagraphFont"/>
    <w:link w:val="PlainText"/>
    <w:uiPriority w:val="99"/>
    <w:qFormat/>
    <w:locked/>
    <w:rsid w:val="00811048"/>
    <w:rPr>
      <w:rFonts w:ascii="Courier New" w:hAnsi="Courier New" w:eastAsia="Times New Roman" w:cs="Courier New"/>
      <w:sz w:val="20"/>
      <w:szCs w:val="20"/>
      <w:lang w:val="en-US" w:eastAsia="hr-HR"/>
    </w:rPr>
  </w:style>
  <w:style w:type="character" w:styleId="Znakovipodnoja" w:customStyle="1">
    <w:name w:val="Znakovi podnožja"/>
    <w:uiPriority w:val="99"/>
    <w:qFormat/>
    <w:rsid w:val="00484b79"/>
    <w:rPr>
      <w:vertAlign w:val="superscript"/>
    </w:rPr>
  </w:style>
  <w:style w:type="character" w:styleId="TitleChar" w:customStyle="1">
    <w:name w:val="Title Char"/>
    <w:basedOn w:val="DefaultParagraphFont"/>
    <w:link w:val="Title"/>
    <w:uiPriority w:val="99"/>
    <w:qFormat/>
    <w:locked/>
    <w:rsid w:val="00e61e22"/>
    <w:rPr>
      <w:rFonts w:ascii="Times New Roman" w:hAnsi="Times New Roman" w:cs="Times New Roman"/>
      <w:sz w:val="20"/>
      <w:szCs w:val="20"/>
    </w:rPr>
  </w:style>
  <w:style w:type="character" w:styleId="Indeksnapoveznica">
    <w:name w:val="Indeksna poveznica"/>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BodyTextChar"/>
    <w:uiPriority w:val="99"/>
    <w:rsid w:val="001b70d9"/>
    <w:pPr>
      <w:spacing w:before="0" w:after="12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adraj1">
    <w:name w:val="TOC 1"/>
    <w:basedOn w:val="Normal"/>
    <w:next w:val="Normal"/>
    <w:autoRedefine/>
    <w:uiPriority w:val="99"/>
    <w:rsid w:val="000a0512"/>
    <w:pPr>
      <w:spacing w:before="120" w:after="120"/>
      <w:jc w:val="left"/>
    </w:pPr>
    <w:rPr>
      <w:b/>
      <w:bCs/>
      <w:caps/>
      <w:sz w:val="20"/>
      <w:szCs w:val="20"/>
    </w:rPr>
  </w:style>
  <w:style w:type="paragraph" w:styleId="Sadraj2">
    <w:name w:val="TOC 2"/>
    <w:basedOn w:val="Normal"/>
    <w:next w:val="Normal"/>
    <w:autoRedefine/>
    <w:uiPriority w:val="99"/>
    <w:rsid w:val="001b70d9"/>
    <w:pPr>
      <w:spacing w:before="0" w:after="0"/>
      <w:ind w:left="240" w:hanging="0"/>
      <w:jc w:val="left"/>
    </w:pPr>
    <w:rPr>
      <w:smallCaps/>
      <w:sz w:val="20"/>
      <w:szCs w:val="20"/>
    </w:rPr>
  </w:style>
  <w:style w:type="paragraph" w:styleId="Sadraj3">
    <w:name w:val="TOC 3"/>
    <w:basedOn w:val="Normal"/>
    <w:next w:val="Normal"/>
    <w:autoRedefine/>
    <w:uiPriority w:val="99"/>
    <w:rsid w:val="00a76a41"/>
    <w:pPr>
      <w:spacing w:before="0" w:after="0"/>
      <w:ind w:left="480" w:hanging="0"/>
      <w:jc w:val="left"/>
    </w:pPr>
    <w:rPr>
      <w:i/>
      <w:iCs/>
      <w:sz w:val="20"/>
      <w:szCs w:val="20"/>
    </w:rPr>
  </w:style>
  <w:style w:type="paragraph" w:styleId="Sadraj4">
    <w:name w:val="TOC 4"/>
    <w:basedOn w:val="Normal"/>
    <w:next w:val="Normal"/>
    <w:autoRedefine/>
    <w:uiPriority w:val="99"/>
    <w:rsid w:val="001b70d9"/>
    <w:pPr>
      <w:spacing w:before="0" w:after="0"/>
      <w:ind w:left="720" w:hanging="0"/>
      <w:jc w:val="left"/>
    </w:pPr>
    <w:rPr>
      <w:sz w:val="18"/>
      <w:szCs w:val="18"/>
    </w:rPr>
  </w:style>
  <w:style w:type="paragraph" w:styleId="ListParagraph">
    <w:name w:val="List Paragraph"/>
    <w:basedOn w:val="Normal"/>
    <w:link w:val="ListParagraphChar"/>
    <w:uiPriority w:val="99"/>
    <w:qFormat/>
    <w:rsid w:val="001b70d9"/>
    <w:pPr>
      <w:spacing w:before="0" w:after="200"/>
      <w:ind w:left="720" w:hanging="0"/>
      <w:contextualSpacing/>
      <w:jc w:val="left"/>
    </w:pPr>
    <w:rPr>
      <w:sz w:val="22"/>
      <w:lang w:val="en-US"/>
    </w:rPr>
  </w:style>
  <w:style w:type="paragraph" w:styleId="BalloonText">
    <w:name w:val="Balloon Text"/>
    <w:basedOn w:val="Normal"/>
    <w:link w:val="BalloonTextChar"/>
    <w:uiPriority w:val="99"/>
    <w:semiHidden/>
    <w:qFormat/>
    <w:rsid w:val="001b70d9"/>
    <w:pPr>
      <w:spacing w:lineRule="auto" w:line="240" w:before="0" w:after="0"/>
    </w:pPr>
    <w:rPr>
      <w:rFonts w:ascii="Tahoma" w:hAnsi="Tahoma" w:cs="Tahoma"/>
      <w:sz w:val="16"/>
      <w:szCs w:val="16"/>
    </w:rPr>
  </w:style>
  <w:style w:type="paragraph" w:styleId="Zaglavljeipodnoje">
    <w:name w:val="Zaglavlje i podnožje"/>
    <w:basedOn w:val="Normal"/>
    <w:qFormat/>
    <w:pPr/>
    <w:rPr/>
  </w:style>
  <w:style w:type="paragraph" w:styleId="Zaglavlje">
    <w:name w:val="Header"/>
    <w:basedOn w:val="Normal"/>
    <w:link w:val="HeaderChar"/>
    <w:uiPriority w:val="99"/>
    <w:rsid w:val="001b70d9"/>
    <w:pPr>
      <w:tabs>
        <w:tab w:val="clear" w:pos="708"/>
        <w:tab w:val="center" w:pos="4536" w:leader="none"/>
        <w:tab w:val="right" w:pos="9072" w:leader="none"/>
      </w:tabs>
      <w:spacing w:lineRule="auto" w:line="240" w:before="0" w:after="0"/>
    </w:pPr>
    <w:rPr/>
  </w:style>
  <w:style w:type="paragraph" w:styleId="Podnoje">
    <w:name w:val="Footer"/>
    <w:basedOn w:val="Normal"/>
    <w:link w:val="FooterChar"/>
    <w:uiPriority w:val="99"/>
    <w:rsid w:val="001b70d9"/>
    <w:pPr>
      <w:tabs>
        <w:tab w:val="clear" w:pos="708"/>
        <w:tab w:val="center" w:pos="4536" w:leader="none"/>
        <w:tab w:val="right" w:pos="9072" w:leader="none"/>
      </w:tabs>
      <w:spacing w:lineRule="auto" w:line="240" w:before="0" w:after="0"/>
    </w:pPr>
    <w:rPr/>
  </w:style>
  <w:style w:type="paragraph" w:styleId="Caption">
    <w:name w:val="caption"/>
    <w:basedOn w:val="Normal"/>
    <w:next w:val="Normal"/>
    <w:uiPriority w:val="99"/>
    <w:qFormat/>
    <w:rsid w:val="001b70d9"/>
    <w:pPr>
      <w:spacing w:lineRule="auto" w:line="360" w:before="0" w:after="0"/>
    </w:pPr>
    <w:rPr>
      <w:rFonts w:cs="Arial"/>
      <w:b/>
      <w:bCs/>
      <w:sz w:val="20"/>
      <w:szCs w:val="20"/>
    </w:rPr>
  </w:style>
  <w:style w:type="paragraph" w:styleId="NormalJustified" w:customStyle="1">
    <w:name w:val="Normal + Justified"/>
    <w:basedOn w:val="Normal"/>
    <w:uiPriority w:val="99"/>
    <w:qFormat/>
    <w:rsid w:val="001b70d9"/>
    <w:pPr>
      <w:spacing w:lineRule="auto" w:line="240" w:before="0" w:after="0"/>
    </w:pPr>
    <w:rPr>
      <w:rFonts w:ascii="Times New Roman" w:hAnsi="Times New Roman" w:eastAsia="Times New Roman"/>
      <w:szCs w:val="24"/>
      <w:lang w:eastAsia="hr-HR"/>
    </w:rPr>
  </w:style>
  <w:style w:type="paragraph" w:styleId="ColorfulListAccent11" w:customStyle="1">
    <w:name w:val="Colorful List - Accent 11"/>
    <w:basedOn w:val="Normal"/>
    <w:uiPriority w:val="99"/>
    <w:qFormat/>
    <w:rsid w:val="001b70d9"/>
    <w:pPr>
      <w:spacing w:lineRule="auto" w:line="360" w:before="0" w:after="0"/>
      <w:ind w:left="720" w:hanging="0"/>
    </w:pPr>
    <w:rPr>
      <w:rFonts w:ascii="Times New Roman" w:hAnsi="Times New Roman"/>
      <w:szCs w:val="24"/>
      <w:lang w:eastAsia="hr-HR"/>
    </w:rPr>
  </w:style>
  <w:style w:type="paragraph" w:styleId="BodyText20" w:customStyle="1">
    <w:name w:val="Body Text20"/>
    <w:basedOn w:val="Normal"/>
    <w:link w:val="Bodytext"/>
    <w:uiPriority w:val="99"/>
    <w:qFormat/>
    <w:rsid w:val="001b70d9"/>
    <w:pPr>
      <w:shd w:val="clear" w:color="auto" w:fill="FFFFFF"/>
      <w:spacing w:lineRule="atLeast" w:line="240" w:before="0" w:after="0"/>
      <w:ind w:hanging="1000"/>
      <w:jc w:val="left"/>
    </w:pPr>
    <w:rPr>
      <w:rFonts w:ascii="Times New Roman" w:hAnsi="Times New Roman" w:eastAsia="Times New Roman"/>
      <w:sz w:val="21"/>
      <w:szCs w:val="21"/>
      <w:lang w:eastAsia="hr-HR"/>
    </w:rPr>
  </w:style>
  <w:style w:type="paragraph" w:styleId="Default" w:customStyle="1">
    <w:name w:val="Default"/>
    <w:uiPriority w:val="99"/>
    <w:qFormat/>
    <w:rsid w:val="001b70d9"/>
    <w:pPr>
      <w:widowControl/>
      <w:bidi w:val="0"/>
      <w:jc w:val="left"/>
    </w:pPr>
    <w:rPr>
      <w:rFonts w:ascii="Cambria" w:hAnsi="Cambria" w:cs="Cambria" w:eastAsia="Calibri"/>
      <w:color w:val="000000"/>
      <w:kern w:val="0"/>
      <w:sz w:val="24"/>
      <w:szCs w:val="24"/>
      <w:lang w:eastAsia="en-US" w:val="hr-HR" w:bidi="ar-SA"/>
    </w:rPr>
  </w:style>
  <w:style w:type="paragraph" w:styleId="Fusnota">
    <w:name w:val="Footnote Text"/>
    <w:basedOn w:val="Normal"/>
    <w:link w:val="FootnoteTextChar"/>
    <w:uiPriority w:val="99"/>
    <w:rsid w:val="001b70d9"/>
    <w:pPr>
      <w:spacing w:lineRule="auto" w:line="240" w:before="0" w:after="0"/>
    </w:pPr>
    <w:rPr>
      <w:sz w:val="20"/>
      <w:szCs w:val="20"/>
    </w:rPr>
  </w:style>
  <w:style w:type="paragraph" w:styleId="BodyText2">
    <w:name w:val="Body Text 2"/>
    <w:basedOn w:val="Normal"/>
    <w:link w:val="BodyText2Char"/>
    <w:uiPriority w:val="99"/>
    <w:qFormat/>
    <w:rsid w:val="00dc224a"/>
    <w:pPr>
      <w:spacing w:lineRule="auto" w:line="480" w:before="0" w:after="120"/>
    </w:pPr>
    <w:rPr/>
  </w:style>
  <w:style w:type="paragraph" w:styleId="Bezproreda2" w:customStyle="1">
    <w:name w:val="Bez proreda2"/>
    <w:link w:val="BezproredaChar"/>
    <w:uiPriority w:val="99"/>
    <w:qFormat/>
    <w:rsid w:val="00dc224a"/>
    <w:pPr>
      <w:widowControl/>
      <w:bidi w:val="0"/>
      <w:spacing w:lineRule="auto" w:line="259" w:before="0" w:after="160"/>
      <w:jc w:val="left"/>
    </w:pPr>
    <w:rPr>
      <w:rFonts w:eastAsia="Times New Roman" w:ascii="Calibri" w:hAnsi="Calibri" w:cs="Times New Roman"/>
      <w:color w:val="auto"/>
      <w:kern w:val="0"/>
      <w:sz w:val="24"/>
      <w:szCs w:val="22"/>
      <w:lang w:eastAsia="en-US" w:val="hr-HR" w:bidi="ar-SA"/>
    </w:rPr>
  </w:style>
  <w:style w:type="paragraph" w:styleId="Tekst11" w:customStyle="1">
    <w:name w:val="tekst11"/>
    <w:basedOn w:val="Normal"/>
    <w:uiPriority w:val="99"/>
    <w:qFormat/>
    <w:rsid w:val="004171bc"/>
    <w:pPr>
      <w:spacing w:lineRule="auto" w:line="288" w:before="0" w:after="0"/>
      <w:ind w:firstLine="709"/>
    </w:pPr>
    <w:rPr>
      <w:rFonts w:ascii="Arial" w:hAnsi="Arial" w:eastAsia="Times New Roman"/>
      <w:sz w:val="22"/>
      <w:lang w:eastAsia="hr-HR"/>
    </w:rPr>
  </w:style>
  <w:style w:type="paragraph" w:styleId="Annotationtext">
    <w:name w:val="annotation text"/>
    <w:basedOn w:val="Normal"/>
    <w:link w:val="CommentTextChar"/>
    <w:uiPriority w:val="99"/>
    <w:qFormat/>
    <w:rsid w:val="00c5458b"/>
    <w:pPr>
      <w:spacing w:lineRule="auto" w:line="240"/>
    </w:pPr>
    <w:rPr>
      <w:sz w:val="20"/>
      <w:szCs w:val="20"/>
    </w:rPr>
  </w:style>
  <w:style w:type="paragraph" w:styleId="Annotationsubject">
    <w:name w:val="annotation subject"/>
    <w:basedOn w:val="Annotationtext"/>
    <w:next w:val="Annotationtext"/>
    <w:link w:val="CommentSubjectChar"/>
    <w:uiPriority w:val="99"/>
    <w:semiHidden/>
    <w:qFormat/>
    <w:rsid w:val="00c5458b"/>
    <w:pPr/>
    <w:rPr>
      <w:b/>
      <w:bCs/>
    </w:rPr>
  </w:style>
  <w:style w:type="paragraph" w:styleId="T982" w:customStyle="1">
    <w:name w:val="T-9/8-2"/>
    <w:basedOn w:val="Normal"/>
    <w:link w:val="T-98-2Char"/>
    <w:uiPriority w:val="99"/>
    <w:qFormat/>
    <w:rsid w:val="00d26b92"/>
    <w:pPr>
      <w:widowControl w:val="false"/>
      <w:tabs>
        <w:tab w:val="clear" w:pos="708"/>
        <w:tab w:val="left" w:pos="2153" w:leader="none"/>
      </w:tabs>
      <w:spacing w:lineRule="auto" w:line="240" w:before="0" w:after="43"/>
      <w:ind w:firstLine="342"/>
    </w:pPr>
    <w:rPr>
      <w:rFonts w:ascii="Times-NewRoman" w:hAnsi="Times-NewRoman" w:eastAsia="Times New Roman"/>
      <w:sz w:val="19"/>
      <w:szCs w:val="20"/>
      <w:lang w:val="en-GB" w:eastAsia="hr-HR"/>
    </w:rPr>
  </w:style>
  <w:style w:type="paragraph" w:styleId="Odlomakpopisa1" w:customStyle="1">
    <w:name w:val="Odlomak popisa1"/>
    <w:basedOn w:val="Normal"/>
    <w:uiPriority w:val="99"/>
    <w:qFormat/>
    <w:rsid w:val="006705a6"/>
    <w:pPr>
      <w:suppressAutoHyphens w:val="true"/>
      <w:ind w:left="720" w:hanging="0"/>
      <w:textAlignment w:val="baseline"/>
    </w:pPr>
    <w:rPr/>
  </w:style>
  <w:style w:type="paragraph" w:styleId="NormalWeb">
    <w:name w:val="Normal (Web)"/>
    <w:basedOn w:val="Normal"/>
    <w:uiPriority w:val="99"/>
    <w:qFormat/>
    <w:rsid w:val="007c655d"/>
    <w:pPr>
      <w:spacing w:lineRule="auto" w:line="240" w:beforeAutospacing="1" w:afterAutospacing="1"/>
      <w:jc w:val="left"/>
    </w:pPr>
    <w:rPr>
      <w:rFonts w:ascii="Times New Roman" w:hAnsi="Times New Roman" w:eastAsia="Times New Roman"/>
      <w:szCs w:val="24"/>
      <w:lang w:eastAsia="hr-HR"/>
    </w:rPr>
  </w:style>
  <w:style w:type="paragraph" w:styleId="TOCHeading">
    <w:name w:val="TOC Heading"/>
    <w:basedOn w:val="Stilnaslova1"/>
    <w:next w:val="Normal"/>
    <w:uiPriority w:val="99"/>
    <w:qFormat/>
    <w:rsid w:val="008861a9"/>
    <w:pPr>
      <w:spacing w:lineRule="auto" w:line="259" w:before="240" w:after="0"/>
      <w:jc w:val="left"/>
    </w:pPr>
    <w:rPr>
      <w:rFonts w:ascii="Calibri Light" w:hAnsi="Calibri Light"/>
      <w:b w:val="false"/>
      <w:bCs w:val="false"/>
      <w:color w:val="2F5496"/>
      <w:sz w:val="32"/>
      <w:szCs w:val="32"/>
      <w:lang w:eastAsia="hr-HR"/>
    </w:rPr>
  </w:style>
  <w:style w:type="paragraph" w:styleId="Sadraj5">
    <w:name w:val="TOC 5"/>
    <w:basedOn w:val="Normal"/>
    <w:next w:val="Normal"/>
    <w:autoRedefine/>
    <w:uiPriority w:val="99"/>
    <w:rsid w:val="00a67446"/>
    <w:pPr>
      <w:spacing w:before="0" w:after="0"/>
      <w:ind w:left="960" w:hanging="0"/>
      <w:jc w:val="left"/>
    </w:pPr>
    <w:rPr>
      <w:sz w:val="18"/>
      <w:szCs w:val="18"/>
    </w:rPr>
  </w:style>
  <w:style w:type="paragraph" w:styleId="Sadraj6">
    <w:name w:val="TOC 6"/>
    <w:basedOn w:val="Normal"/>
    <w:next w:val="Normal"/>
    <w:autoRedefine/>
    <w:uiPriority w:val="99"/>
    <w:rsid w:val="008861a9"/>
    <w:pPr>
      <w:spacing w:before="0" w:after="0"/>
      <w:ind w:left="1200" w:hanging="0"/>
      <w:jc w:val="left"/>
    </w:pPr>
    <w:rPr>
      <w:sz w:val="18"/>
      <w:szCs w:val="18"/>
    </w:rPr>
  </w:style>
  <w:style w:type="paragraph" w:styleId="Sadraj7">
    <w:name w:val="TOC 7"/>
    <w:basedOn w:val="Normal"/>
    <w:next w:val="Normal"/>
    <w:autoRedefine/>
    <w:uiPriority w:val="99"/>
    <w:rsid w:val="008861a9"/>
    <w:pPr>
      <w:spacing w:before="0" w:after="0"/>
      <w:ind w:left="1440" w:hanging="0"/>
      <w:jc w:val="left"/>
    </w:pPr>
    <w:rPr>
      <w:sz w:val="18"/>
      <w:szCs w:val="18"/>
    </w:rPr>
  </w:style>
  <w:style w:type="paragraph" w:styleId="Sadraj8">
    <w:name w:val="TOC 8"/>
    <w:basedOn w:val="Normal"/>
    <w:next w:val="Normal"/>
    <w:autoRedefine/>
    <w:uiPriority w:val="99"/>
    <w:rsid w:val="008861a9"/>
    <w:pPr>
      <w:spacing w:before="0" w:after="0"/>
      <w:ind w:left="1680" w:hanging="0"/>
      <w:jc w:val="left"/>
    </w:pPr>
    <w:rPr>
      <w:sz w:val="18"/>
      <w:szCs w:val="18"/>
    </w:rPr>
  </w:style>
  <w:style w:type="paragraph" w:styleId="Sadraj9">
    <w:name w:val="TOC 9"/>
    <w:basedOn w:val="Normal"/>
    <w:next w:val="Normal"/>
    <w:autoRedefine/>
    <w:uiPriority w:val="99"/>
    <w:rsid w:val="008861a9"/>
    <w:pPr>
      <w:spacing w:before="0" w:after="0"/>
      <w:ind w:left="1920" w:hanging="0"/>
      <w:jc w:val="left"/>
    </w:pPr>
    <w:rPr>
      <w:sz w:val="18"/>
      <w:szCs w:val="18"/>
    </w:rPr>
  </w:style>
  <w:style w:type="paragraph" w:styleId="NoSpacing">
    <w:name w:val="No Spacing"/>
    <w:link w:val="NoSpacingChar1"/>
    <w:uiPriority w:val="99"/>
    <w:qFormat/>
    <w:rsid w:val="00691979"/>
    <w:pPr>
      <w:widowControl/>
      <w:bidi w:val="0"/>
      <w:jc w:val="both"/>
    </w:pPr>
    <w:rPr>
      <w:rFonts w:ascii="Calibri" w:hAnsi="Calibri" w:eastAsia="Calibri" w:cs="Times New Roman"/>
      <w:color w:val="auto"/>
      <w:kern w:val="0"/>
      <w:sz w:val="24"/>
      <w:szCs w:val="22"/>
      <w:lang w:val="hr-HR" w:eastAsia="hr-HR" w:bidi="ar-SA"/>
    </w:rPr>
  </w:style>
  <w:style w:type="paragraph" w:styleId="Sluben" w:customStyle="1">
    <w:name w:val="služben"/>
    <w:basedOn w:val="Bezproreda2"/>
    <w:uiPriority w:val="99"/>
    <w:qFormat/>
    <w:rsid w:val="009b6f3a"/>
    <w:pPr/>
    <w:rPr/>
  </w:style>
  <w:style w:type="paragraph" w:styleId="Tableoffigures">
    <w:name w:val="table of figures"/>
    <w:basedOn w:val="Normal"/>
    <w:next w:val="Normal"/>
    <w:uiPriority w:val="99"/>
    <w:qFormat/>
    <w:rsid w:val="009b6f3a"/>
    <w:pPr>
      <w:spacing w:before="0" w:after="0"/>
      <w:ind w:left="480" w:hanging="480"/>
      <w:jc w:val="left"/>
    </w:pPr>
    <w:rPr>
      <w:rFonts w:cs="Calibri"/>
      <w:smallCaps/>
      <w:sz w:val="20"/>
      <w:szCs w:val="20"/>
    </w:rPr>
  </w:style>
  <w:style w:type="paragraph" w:styleId="CM8" w:customStyle="1">
    <w:name w:val="CM8"/>
    <w:basedOn w:val="Default"/>
    <w:next w:val="Default"/>
    <w:uiPriority w:val="99"/>
    <w:qFormat/>
    <w:rsid w:val="00715ccd"/>
    <w:pPr>
      <w:widowControl w:val="false"/>
      <w:spacing w:lineRule="atLeast" w:line="271"/>
    </w:pPr>
    <w:rPr>
      <w:rFonts w:ascii="Arial" w:hAnsi="Arial" w:eastAsia="Times New Roman" w:cs="Times New Roman"/>
      <w:color w:val="auto"/>
      <w:lang w:eastAsia="hr-HR"/>
    </w:rPr>
  </w:style>
  <w:style w:type="paragraph" w:styleId="Tekstfusnote1" w:customStyle="1">
    <w:name w:val="Tekst fusnote1"/>
    <w:basedOn w:val="Normal"/>
    <w:uiPriority w:val="99"/>
    <w:qFormat/>
    <w:rsid w:val="002d6d14"/>
    <w:pPr>
      <w:suppressAutoHyphens w:val="true"/>
      <w:spacing w:lineRule="auto" w:line="240" w:before="0" w:after="0"/>
      <w:textAlignment w:val="baseline"/>
    </w:pPr>
    <w:rPr>
      <w:sz w:val="20"/>
      <w:szCs w:val="20"/>
    </w:rPr>
  </w:style>
  <w:style w:type="paragraph" w:styleId="Tijeloteksta4" w:customStyle="1">
    <w:name w:val="Tijelo teksta4"/>
    <w:basedOn w:val="Normal"/>
    <w:uiPriority w:val="99"/>
    <w:qFormat/>
    <w:rsid w:val="00c973d5"/>
    <w:pPr>
      <w:widowControl w:val="false"/>
      <w:shd w:val="clear" w:color="auto" w:fill="FFFFFF"/>
      <w:spacing w:lineRule="exact" w:line="274" w:before="180" w:after="180"/>
    </w:pPr>
    <w:rPr>
      <w:rFonts w:ascii="Arial" w:hAnsi="Arial" w:cs="Arial"/>
      <w:color w:val="000000"/>
      <w:szCs w:val="24"/>
      <w:lang w:eastAsia="hr-HR"/>
    </w:rPr>
  </w:style>
  <w:style w:type="paragraph" w:styleId="Tijeloteksta2" w:customStyle="1">
    <w:name w:val="Tijelo teksta2"/>
    <w:basedOn w:val="Normal"/>
    <w:uiPriority w:val="99"/>
    <w:qFormat/>
    <w:rsid w:val="00c973d5"/>
    <w:pPr>
      <w:widowControl w:val="false"/>
      <w:shd w:val="clear" w:color="auto" w:fill="FFFFFF"/>
      <w:spacing w:lineRule="exact" w:line="274" w:before="180" w:after="180"/>
    </w:pPr>
    <w:rPr>
      <w:rFonts w:ascii="Arial" w:hAnsi="Arial" w:cs="Arial"/>
      <w:color w:val="000000"/>
      <w:szCs w:val="24"/>
      <w:lang w:eastAsia="hr-HR"/>
    </w:rPr>
  </w:style>
  <w:style w:type="paragraph" w:styleId="Tablecaption31" w:customStyle="1">
    <w:name w:val="Table caption (3)"/>
    <w:basedOn w:val="Normal"/>
    <w:link w:val="Tablecaption3"/>
    <w:uiPriority w:val="99"/>
    <w:qFormat/>
    <w:rsid w:val="006713e2"/>
    <w:pPr>
      <w:widowControl w:val="false"/>
      <w:shd w:val="clear" w:color="auto" w:fill="FFFFFF"/>
      <w:spacing w:lineRule="atLeast" w:line="240" w:before="0" w:after="0"/>
      <w:jc w:val="left"/>
    </w:pPr>
    <w:rPr>
      <w:rFonts w:ascii="Arial" w:hAnsi="Arial" w:cs="Arial"/>
      <w:b/>
      <w:bCs/>
      <w:sz w:val="22"/>
    </w:rPr>
  </w:style>
  <w:style w:type="paragraph" w:styleId="Picturecaption41" w:customStyle="1">
    <w:name w:val="Picture caption (4)"/>
    <w:basedOn w:val="Normal"/>
    <w:link w:val="Picturecaption4"/>
    <w:uiPriority w:val="99"/>
    <w:qFormat/>
    <w:rsid w:val="006e7291"/>
    <w:pPr>
      <w:widowControl w:val="false"/>
      <w:shd w:val="clear" w:color="auto" w:fill="FFFFFF"/>
      <w:spacing w:lineRule="atLeast" w:line="240" w:before="0" w:after="0"/>
      <w:jc w:val="left"/>
    </w:pPr>
    <w:rPr>
      <w:rFonts w:ascii="Franklin Gothic Heavy" w:hAnsi="Franklin Gothic Heavy" w:cs="Franklin Gothic Heavy"/>
      <w:sz w:val="11"/>
      <w:szCs w:val="11"/>
    </w:rPr>
  </w:style>
  <w:style w:type="paragraph" w:styleId="Bodytext181" w:customStyle="1">
    <w:name w:val="Body text (18)"/>
    <w:basedOn w:val="Normal"/>
    <w:link w:val="Bodytext18"/>
    <w:uiPriority w:val="99"/>
    <w:qFormat/>
    <w:rsid w:val="006e7291"/>
    <w:pPr>
      <w:widowControl w:val="false"/>
      <w:shd w:val="clear" w:color="auto" w:fill="FFFFFF"/>
      <w:spacing w:lineRule="exact" w:line="394" w:before="60" w:after="0"/>
      <w:ind w:firstLine="720"/>
    </w:pPr>
    <w:rPr>
      <w:rFonts w:ascii="Arial" w:hAnsi="Arial" w:cs="Arial"/>
      <w:i/>
      <w:iCs/>
      <w:sz w:val="23"/>
      <w:szCs w:val="23"/>
    </w:rPr>
  </w:style>
  <w:style w:type="paragraph" w:styleId="Tijeloteksta3" w:customStyle="1">
    <w:name w:val="Tijelo teksta3"/>
    <w:basedOn w:val="Normal"/>
    <w:uiPriority w:val="99"/>
    <w:qFormat/>
    <w:rsid w:val="00957ebb"/>
    <w:pPr>
      <w:widowControl w:val="false"/>
      <w:shd w:val="clear" w:color="auto" w:fill="FFFFFF"/>
      <w:spacing w:lineRule="exact" w:line="278" w:before="60" w:after="0"/>
    </w:pPr>
    <w:rPr>
      <w:rFonts w:ascii="Arial" w:hAnsi="Arial" w:cs="Arial"/>
    </w:rPr>
  </w:style>
  <w:style w:type="paragraph" w:styleId="Naslov41" w:customStyle="1">
    <w:name w:val="Naslov 41"/>
    <w:basedOn w:val="Normal"/>
    <w:next w:val="Normal"/>
    <w:uiPriority w:val="99"/>
    <w:qFormat/>
    <w:rsid w:val="00b9062d"/>
    <w:pPr>
      <w:keepNext w:val="true"/>
      <w:keepLines/>
      <w:suppressAutoHyphens w:val="true"/>
      <w:spacing w:before="200" w:after="0"/>
      <w:textAlignment w:val="baseline"/>
      <w:outlineLvl w:val="3"/>
    </w:pPr>
    <w:rPr>
      <w:rFonts w:eastAsia="Times New Roman"/>
      <w:bCs/>
      <w:iCs/>
      <w:sz w:val="20"/>
    </w:rPr>
  </w:style>
  <w:style w:type="paragraph" w:styleId="BodyText21" w:customStyle="1">
    <w:name w:val="Body Text 21"/>
    <w:basedOn w:val="Normal"/>
    <w:uiPriority w:val="99"/>
    <w:qFormat/>
    <w:rsid w:val="00043410"/>
    <w:pPr>
      <w:overflowPunct w:val="true"/>
      <w:spacing w:lineRule="auto" w:line="240" w:before="0" w:after="0"/>
      <w:ind w:left="426" w:hanging="426"/>
      <w:textAlignment w:val="baseline"/>
    </w:pPr>
    <w:rPr>
      <w:rFonts w:eastAsia="Times New Roman"/>
      <w:sz w:val="16"/>
      <w:szCs w:val="20"/>
      <w:lang w:eastAsia="hr-HR"/>
    </w:rPr>
  </w:style>
  <w:style w:type="paragraph" w:styleId="Bezproreda1" w:customStyle="1">
    <w:name w:val="Bez proreda1"/>
    <w:link w:val="NoSpacingChar"/>
    <w:uiPriority w:val="99"/>
    <w:qFormat/>
    <w:rsid w:val="00094ae3"/>
    <w:pPr>
      <w:widowControl/>
      <w:bidi w:val="0"/>
      <w:jc w:val="left"/>
    </w:pPr>
    <w:rPr>
      <w:rFonts w:ascii="Calibri" w:hAnsi="Calibri" w:eastAsia="Calibri" w:cs="Times New Roman"/>
      <w:color w:val="auto"/>
      <w:kern w:val="0"/>
      <w:sz w:val="24"/>
      <w:szCs w:val="22"/>
      <w:lang w:val="en-US" w:eastAsia="en-US" w:bidi="ar-SA"/>
    </w:rPr>
  </w:style>
  <w:style w:type="paragraph" w:styleId="Box456673" w:customStyle="1">
    <w:name w:val="box_456673"/>
    <w:basedOn w:val="Normal"/>
    <w:uiPriority w:val="99"/>
    <w:qFormat/>
    <w:rsid w:val="00e92ca2"/>
    <w:pPr>
      <w:spacing w:lineRule="auto" w:line="240" w:beforeAutospacing="1" w:afterAutospacing="1"/>
      <w:jc w:val="left"/>
    </w:pPr>
    <w:rPr>
      <w:rFonts w:ascii="Times New Roman" w:hAnsi="Times New Roman" w:eastAsia="Times New Roman"/>
      <w:szCs w:val="24"/>
      <w:lang w:eastAsia="hr-HR"/>
    </w:rPr>
  </w:style>
  <w:style w:type="paragraph" w:styleId="BodyText3">
    <w:name w:val="Body Text 3"/>
    <w:basedOn w:val="Normal"/>
    <w:link w:val="BodyText3Char"/>
    <w:uiPriority w:val="99"/>
    <w:qFormat/>
    <w:rsid w:val="00054e04"/>
    <w:pPr>
      <w:spacing w:lineRule="auto" w:line="240" w:before="0" w:after="120"/>
      <w:jc w:val="left"/>
    </w:pPr>
    <w:rPr>
      <w:rFonts w:ascii="Times New Roman" w:hAnsi="Times New Roman" w:eastAsia="Times New Roman"/>
      <w:sz w:val="16"/>
      <w:szCs w:val="16"/>
      <w:lang w:eastAsia="hr-HR"/>
    </w:rPr>
  </w:style>
  <w:style w:type="paragraph" w:styleId="M1257402251027514809gmailt98" w:customStyle="1">
    <w:name w:val="m_1257402251027514809gmail-t-9-8"/>
    <w:basedOn w:val="Normal"/>
    <w:uiPriority w:val="99"/>
    <w:qFormat/>
    <w:rsid w:val="007a7dde"/>
    <w:pPr>
      <w:suppressAutoHyphens w:val="true"/>
      <w:spacing w:lineRule="auto" w:line="240" w:before="100" w:after="100"/>
      <w:jc w:val="left"/>
      <w:textAlignment w:val="baseline"/>
    </w:pPr>
    <w:rPr>
      <w:rFonts w:ascii="Times New Roman" w:hAnsi="Times New Roman" w:eastAsia="Times New Roman"/>
      <w:szCs w:val="24"/>
      <w:lang w:eastAsia="hr-HR"/>
    </w:rPr>
  </w:style>
  <w:style w:type="paragraph" w:styleId="Uvlakatijelateksta">
    <w:name w:val="Body Text Indent"/>
    <w:basedOn w:val="Normal"/>
    <w:link w:val="BodyTextIndentChar"/>
    <w:uiPriority w:val="99"/>
    <w:semiHidden/>
    <w:rsid w:val="00465457"/>
    <w:pPr>
      <w:spacing w:before="0" w:after="120"/>
      <w:ind w:left="283" w:hanging="0"/>
    </w:pPr>
    <w:rPr/>
  </w:style>
  <w:style w:type="paragraph" w:styleId="Stil1" w:customStyle="1">
    <w:name w:val="Stil1"/>
    <w:basedOn w:val="Stilnaslova4"/>
    <w:link w:val="Stil1Char"/>
    <w:uiPriority w:val="99"/>
    <w:qFormat/>
    <w:rsid w:val="008d6226"/>
    <w:pPr>
      <w:spacing w:lineRule="auto" w:line="240"/>
      <w:ind w:left="864" w:hanging="864"/>
      <w:jc w:val="left"/>
    </w:pPr>
    <w:rPr>
      <w:rFonts w:ascii="Cambria" w:hAnsi="Cambria"/>
      <w:b/>
      <w:i/>
      <w:szCs w:val="24"/>
    </w:rPr>
  </w:style>
  <w:style w:type="paragraph" w:styleId="Quote">
    <w:name w:val="Quote"/>
    <w:basedOn w:val="Normal"/>
    <w:next w:val="Normal"/>
    <w:link w:val="QuoteChar"/>
    <w:uiPriority w:val="99"/>
    <w:qFormat/>
    <w:rsid w:val="00851e35"/>
    <w:pPr>
      <w:spacing w:lineRule="auto" w:line="240" w:before="0" w:after="0"/>
      <w:jc w:val="left"/>
    </w:pPr>
    <w:rPr>
      <w:rFonts w:ascii="Arial" w:hAnsi="Arial" w:eastAsia="Times New Roman"/>
      <w:i/>
      <w:iCs/>
      <w:color w:val="000000"/>
      <w:szCs w:val="24"/>
    </w:rPr>
  </w:style>
  <w:style w:type="paragraph" w:styleId="Stil3" w:customStyle="1">
    <w:name w:val="Stil3"/>
    <w:basedOn w:val="Normal"/>
    <w:link w:val="Stil3Char"/>
    <w:uiPriority w:val="99"/>
    <w:qFormat/>
    <w:rsid w:val="00e0050d"/>
    <w:pPr>
      <w:spacing w:lineRule="auto" w:line="240" w:before="0" w:after="0"/>
      <w:jc w:val="left"/>
    </w:pPr>
    <w:rPr>
      <w:rFonts w:ascii="Times New Roman" w:hAnsi="Times New Roman" w:eastAsia="Times New Roman"/>
      <w:b/>
      <w:szCs w:val="24"/>
      <w:u w:val="single"/>
      <w:lang w:eastAsia="hr-HR"/>
    </w:rPr>
  </w:style>
  <w:style w:type="paragraph" w:styleId="PlainText">
    <w:name w:val="Plain Text"/>
    <w:basedOn w:val="Normal"/>
    <w:link w:val="PlainTextChar"/>
    <w:uiPriority w:val="99"/>
    <w:qFormat/>
    <w:rsid w:val="00811048"/>
    <w:pPr>
      <w:spacing w:lineRule="auto" w:line="240" w:before="0" w:after="0"/>
      <w:jc w:val="left"/>
    </w:pPr>
    <w:rPr>
      <w:rFonts w:ascii="Courier New" w:hAnsi="Courier New" w:cs="Courier New"/>
      <w:sz w:val="20"/>
      <w:szCs w:val="20"/>
      <w:lang w:val="en-US" w:eastAsia="hr-HR"/>
    </w:rPr>
  </w:style>
  <w:style w:type="paragraph" w:styleId="Box459727" w:customStyle="1">
    <w:name w:val="box_459727"/>
    <w:basedOn w:val="Normal"/>
    <w:uiPriority w:val="99"/>
    <w:qFormat/>
    <w:rsid w:val="00875437"/>
    <w:pPr>
      <w:spacing w:lineRule="auto" w:line="240" w:beforeAutospacing="1" w:afterAutospacing="1"/>
      <w:jc w:val="left"/>
    </w:pPr>
    <w:rPr>
      <w:rFonts w:ascii="Times New Roman" w:hAnsi="Times New Roman" w:eastAsia="Times New Roman"/>
      <w:szCs w:val="24"/>
      <w:lang w:eastAsia="hr-HR"/>
    </w:rPr>
  </w:style>
  <w:style w:type="paragraph" w:styleId="Box457285" w:customStyle="1">
    <w:name w:val="box_457285"/>
    <w:basedOn w:val="Normal"/>
    <w:uiPriority w:val="99"/>
    <w:qFormat/>
    <w:rsid w:val="00047fa2"/>
    <w:pPr>
      <w:spacing w:lineRule="auto" w:line="240" w:beforeAutospacing="1" w:afterAutospacing="1"/>
      <w:jc w:val="left"/>
    </w:pPr>
    <w:rPr>
      <w:rFonts w:ascii="Times New Roman" w:hAnsi="Times New Roman" w:eastAsia="Times New Roman"/>
      <w:szCs w:val="24"/>
      <w:lang w:eastAsia="hr-HR"/>
    </w:rPr>
  </w:style>
  <w:style w:type="paragraph" w:styleId="Naslov">
    <w:name w:val="Title"/>
    <w:basedOn w:val="Normal"/>
    <w:link w:val="TitleChar"/>
    <w:uiPriority w:val="99"/>
    <w:qFormat/>
    <w:rsid w:val="00e61e22"/>
    <w:pPr>
      <w:overflowPunct w:val="true"/>
      <w:spacing w:lineRule="auto" w:line="240" w:before="0" w:after="0"/>
      <w:jc w:val="center"/>
    </w:pPr>
    <w:rPr>
      <w:rFonts w:ascii="Times New Roman" w:hAnsi="Times New Roman" w:eastAsia="Times New Roman"/>
      <w:szCs w:val="20"/>
    </w:rPr>
  </w:style>
  <w:style w:type="paragraph" w:styleId="T98" w:customStyle="1">
    <w:name w:val="t-9-8"/>
    <w:basedOn w:val="Normal"/>
    <w:uiPriority w:val="99"/>
    <w:qFormat/>
    <w:rsid w:val="00567e58"/>
    <w:pPr>
      <w:spacing w:lineRule="auto" w:line="240" w:beforeAutospacing="1" w:afterAutospacing="1"/>
      <w:jc w:val="left"/>
    </w:pPr>
    <w:rPr>
      <w:rFonts w:ascii="Times New Roman" w:hAnsi="Times New Roman" w:eastAsia="Times New Roman"/>
      <w:szCs w:val="24"/>
      <w:lang w:eastAsia="hr-H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1b70d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
    <w:name w:val="Rešetka tablice1"/>
    <w:uiPriority w:val="99"/>
    <w:rsid w:val="00532a2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
    <w:name w:val="Rešetka tablice2"/>
    <w:uiPriority w:val="99"/>
    <w:rsid w:val="00fa478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3">
    <w:name w:val="Rešetka tablice3"/>
    <w:uiPriority w:val="99"/>
    <w:rsid w:val="00f80d16"/>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
    <w:name w:val="Rešetka tablice4"/>
    <w:uiPriority w:val="99"/>
    <w:rsid w:val="007678f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5">
    <w:name w:val="Rešetka tablice5"/>
    <w:uiPriority w:val="99"/>
    <w:rsid w:val="00e615f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1">
    <w:name w:val="Rešetka tablice21"/>
    <w:uiPriority w:val="99"/>
    <w:rsid w:val="00a32b0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6">
    <w:name w:val="Rešetka tablice6"/>
    <w:uiPriority w:val="99"/>
    <w:rsid w:val="00a47ab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7">
    <w:name w:val="Rešetka tablice7"/>
    <w:uiPriority w:val="99"/>
    <w:rsid w:val="00c3279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1">
    <w:name w:val="Rešetka tablice41"/>
    <w:uiPriority w:val="99"/>
    <w:rsid w:val="00bc4d1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8">
    <w:name w:val="Rešetka tablice8"/>
    <w:uiPriority w:val="99"/>
    <w:rsid w:val="00a86e8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9">
    <w:name w:val="Rešetka tablice9"/>
    <w:uiPriority w:val="99"/>
    <w:rsid w:val="008f3bf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0">
    <w:name w:val="Rešetka tablice10"/>
    <w:uiPriority w:val="99"/>
    <w:rsid w:val="009c519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81">
    <w:name w:val="Rešetka tablice81"/>
    <w:uiPriority w:val="99"/>
    <w:rsid w:val="00a561a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
    <w:name w:val="Rešetka tablice11"/>
    <w:uiPriority w:val="99"/>
    <w:rsid w:val="00c56c1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11">
    <w:name w:val="Rešetka tablice411"/>
    <w:uiPriority w:val="99"/>
    <w:rsid w:val="007151b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2">
    <w:name w:val="Rešetka tablice12"/>
    <w:uiPriority w:val="99"/>
    <w:rsid w:val="007f51f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3">
    <w:name w:val="Rešetka tablice13"/>
    <w:uiPriority w:val="99"/>
    <w:rsid w:val="007f51f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111">
    <w:name w:val="Rešetka tablice4111"/>
    <w:uiPriority w:val="99"/>
    <w:rsid w:val="0016491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4">
    <w:name w:val="Rešetka tablice14"/>
    <w:uiPriority w:val="99"/>
    <w:rsid w:val="004b18a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5">
    <w:name w:val="Rešetka tablice15"/>
    <w:uiPriority w:val="99"/>
    <w:rsid w:val="00c1354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6">
    <w:name w:val="Rešetka tablice16"/>
    <w:uiPriority w:val="99"/>
    <w:rsid w:val="002e759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4">
    <w:name w:val="Rešetka tablice24"/>
    <w:uiPriority w:val="99"/>
    <w:rsid w:val="00895487"/>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7">
    <w:name w:val="Rešetka tablice17"/>
    <w:uiPriority w:val="99"/>
    <w:rsid w:val="00252b9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8">
    <w:name w:val="Rešetka tablice18"/>
    <w:uiPriority w:val="99"/>
    <w:rsid w:val="00e4160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01">
    <w:name w:val="Rešetka tablice201"/>
    <w:uiPriority w:val="99"/>
    <w:rsid w:val="00a200d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21">
    <w:name w:val="Rešetka tablice221"/>
    <w:uiPriority w:val="99"/>
    <w:rsid w:val="00a200d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611">
    <w:name w:val="Rešetka tablice1611"/>
    <w:uiPriority w:val="99"/>
    <w:rsid w:val="007938b0"/>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41">
    <w:name w:val="Rešetka tablice241"/>
    <w:uiPriority w:val="99"/>
    <w:rsid w:val="007938b0"/>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011">
    <w:name w:val="Rešetka tablice1011"/>
    <w:uiPriority w:val="99"/>
    <w:rsid w:val="0036298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21">
    <w:name w:val="Rešetka tablice1121"/>
    <w:uiPriority w:val="99"/>
    <w:rsid w:val="004a6b9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01">
    <w:name w:val="Rešetka tablice101"/>
    <w:uiPriority w:val="99"/>
    <w:rsid w:val="001a724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21">
    <w:name w:val="Rešetka tablice121"/>
    <w:uiPriority w:val="99"/>
    <w:rsid w:val="001a3b9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1121">
    <w:name w:val="Rešetka tablice111121"/>
    <w:uiPriority w:val="99"/>
    <w:rsid w:val="00e7049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0">
    <w:name w:val="Rešetka tablice20"/>
    <w:uiPriority w:val="99"/>
    <w:rsid w:val="009a3d3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411">
    <w:name w:val="Rešetka tablice2411"/>
    <w:uiPriority w:val="99"/>
    <w:rsid w:val="00fd166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02">
    <w:name w:val="Rešetka tablice102"/>
    <w:uiPriority w:val="99"/>
    <w:rsid w:val="000d391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3">
    <w:name w:val="Rešetka tablice23"/>
    <w:uiPriority w:val="99"/>
    <w:rsid w:val="002e7ec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311">
    <w:name w:val="Rešetka tablice1311"/>
    <w:uiPriority w:val="99"/>
    <w:rsid w:val="00710700"/>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1111">
    <w:name w:val="Rešetka tablice111111"/>
    <w:uiPriority w:val="99"/>
    <w:rsid w:val="003f500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31">
    <w:name w:val="Rešetka tablice231"/>
    <w:uiPriority w:val="99"/>
    <w:rsid w:val="00871b4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61">
    <w:name w:val="Rešetka tablice161"/>
    <w:uiPriority w:val="99"/>
    <w:rsid w:val="0050757f"/>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9">
    <w:name w:val="Rešetka tablice19"/>
    <w:uiPriority w:val="99"/>
    <w:rsid w:val="009a209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91">
    <w:name w:val="Rešetka tablice191"/>
    <w:uiPriority w:val="99"/>
    <w:rsid w:val="005006cc"/>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2">
    <w:name w:val="Rešetka tablice22"/>
    <w:uiPriority w:val="99"/>
    <w:rsid w:val="00f9691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5">
    <w:name w:val="Rešetka tablice25"/>
    <w:uiPriority w:val="99"/>
    <w:rsid w:val="00f9691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6">
    <w:name w:val="Rešetka tablice26"/>
    <w:uiPriority w:val="99"/>
    <w:rsid w:val="004d336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7">
    <w:name w:val="Rešetka tablice27"/>
    <w:uiPriority w:val="99"/>
    <w:rsid w:val="004d336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8">
    <w:name w:val="Rešetka tablice28"/>
    <w:uiPriority w:val="99"/>
    <w:rsid w:val="00842736"/>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24">
    <w:name w:val="Rešetka tablice224"/>
    <w:uiPriority w:val="99"/>
    <w:rsid w:val="00727a9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71">
    <w:name w:val="Rešetka tablice71"/>
    <w:uiPriority w:val="99"/>
    <w:rsid w:val="00597ce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LibreOffice/6.3.1.2$Windows_X86_64 LibreOffice_project/b79626edf0065ac373bd1df5c28bd630b4424273</Application>
  <Pages>15</Pages>
  <Words>3228</Words>
  <Characters>20030</Characters>
  <CharactersWithSpaces>22956</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2020-03-26T10:29:00Z</dcterms:created>
  <dc:creator>PC1</dc:creator>
  <dc:description/>
  <dc:language>hr-HR</dc:language>
  <cp:lastModifiedBy>Windows korisnik</cp:lastModifiedBy>
  <cp:lastPrinted>2020-03-19T10:15:00Z</cp:lastPrinted>
  <dcterms:modified xsi:type="dcterms:W3CDTF">2020-03-26T10:29:00Z</dcterms:modified>
  <cp:revision>2</cp:revision>
  <dc:subject/>
  <dc:title>Općina Kloštar Podravski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